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E5E" w14:textId="7C10E9CE" w:rsidR="00FE227A" w:rsidRPr="00D61398" w:rsidRDefault="00745BEB" w:rsidP="00D21AA3">
      <w:pPr>
        <w:pStyle w:val="Prrafodelista"/>
        <w:widowControl w:val="0"/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1398">
        <w:rPr>
          <w:rFonts w:ascii="Arial" w:hAnsi="Arial" w:cs="Arial"/>
          <w:b/>
          <w:sz w:val="22"/>
          <w:szCs w:val="22"/>
        </w:rPr>
        <w:t>PROPOSITO</w:t>
      </w:r>
      <w:r w:rsidR="00FE227A" w:rsidRPr="00D61398">
        <w:rPr>
          <w:rFonts w:ascii="Arial" w:hAnsi="Arial" w:cs="Arial"/>
          <w:b/>
          <w:sz w:val="22"/>
          <w:szCs w:val="22"/>
        </w:rPr>
        <w:t xml:space="preserve">: </w:t>
      </w:r>
      <w:r w:rsidR="00D92D54" w:rsidRPr="00D61398">
        <w:rPr>
          <w:rFonts w:ascii="Arial" w:hAnsi="Arial" w:cs="Arial"/>
          <w:color w:val="000000"/>
          <w:sz w:val="22"/>
          <w:szCs w:val="22"/>
        </w:rPr>
        <w:t xml:space="preserve">Determinar la veracidad de la información consignada y aportada en las declaraciones de los tributos (Ica y Reteica), realizar auditoria e investigación para determinar el correcto cumplimiento de los mismos, Establecer si hay o no operaciones marginadas de la información contable o simuladas dolosamente, verificar la ocurrencia de hechos irregulares conforme a la </w:t>
      </w:r>
      <w:r w:rsidR="003E5E43" w:rsidRPr="00D61398">
        <w:rPr>
          <w:rFonts w:ascii="Arial" w:hAnsi="Arial" w:cs="Arial"/>
          <w:color w:val="000000"/>
          <w:sz w:val="22"/>
          <w:szCs w:val="22"/>
        </w:rPr>
        <w:t>normatividad vigente</w:t>
      </w:r>
    </w:p>
    <w:p w14:paraId="1AE662FD" w14:textId="77777777" w:rsidR="00D21AA3" w:rsidRPr="00D61398" w:rsidRDefault="00D21AA3" w:rsidP="00D21AA3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14:paraId="13703AB0" w14:textId="1A2BCAAA" w:rsidR="00FE227A" w:rsidRPr="00D61398" w:rsidRDefault="00745BEB" w:rsidP="00FE227A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D61398">
        <w:rPr>
          <w:rFonts w:ascii="Arial" w:hAnsi="Arial" w:cs="Arial"/>
          <w:b/>
          <w:sz w:val="22"/>
          <w:szCs w:val="22"/>
        </w:rPr>
        <w:t>ALCANCE</w:t>
      </w:r>
      <w:r w:rsidR="00FE227A" w:rsidRPr="00D61398">
        <w:rPr>
          <w:rFonts w:ascii="Arial" w:hAnsi="Arial" w:cs="Arial"/>
          <w:b/>
          <w:sz w:val="22"/>
          <w:szCs w:val="22"/>
        </w:rPr>
        <w:t>:</w:t>
      </w:r>
      <w:r w:rsidR="00D92D54" w:rsidRPr="00D61398">
        <w:rPr>
          <w:rFonts w:ascii="Arial" w:hAnsi="Arial" w:cs="Arial"/>
          <w:b/>
          <w:sz w:val="22"/>
          <w:szCs w:val="22"/>
        </w:rPr>
        <w:t xml:space="preserve"> </w:t>
      </w:r>
      <w:r w:rsidR="00D92D54" w:rsidRPr="00D61398">
        <w:rPr>
          <w:rFonts w:ascii="Arial" w:hAnsi="Arial" w:cs="Arial"/>
          <w:color w:val="000000"/>
          <w:sz w:val="22"/>
          <w:szCs w:val="22"/>
        </w:rPr>
        <w:t xml:space="preserve">Auditar todas las Declaraciones privadas de industria y comercio con todos sus anexos y los documentos anexos que requiera el auditor, Además de las declaraciones de </w:t>
      </w:r>
      <w:r w:rsidR="005D3A53">
        <w:rPr>
          <w:rFonts w:ascii="Arial" w:hAnsi="Arial" w:cs="Arial"/>
          <w:color w:val="000000"/>
          <w:sz w:val="22"/>
          <w:szCs w:val="22"/>
        </w:rPr>
        <w:t>r</w:t>
      </w:r>
      <w:r w:rsidR="00D92D54" w:rsidRPr="00D61398">
        <w:rPr>
          <w:rFonts w:ascii="Arial" w:hAnsi="Arial" w:cs="Arial"/>
          <w:color w:val="000000"/>
          <w:sz w:val="22"/>
          <w:szCs w:val="22"/>
        </w:rPr>
        <w:t>eteica y sus medios exógenos</w:t>
      </w:r>
    </w:p>
    <w:p w14:paraId="53881CF2" w14:textId="77777777" w:rsidR="00DE011F" w:rsidRPr="00D61398" w:rsidRDefault="00DE011F" w:rsidP="00DE011F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27CB53CC" w14:textId="77777777" w:rsidR="00DE011F" w:rsidRPr="00D61398" w:rsidRDefault="00DE011F" w:rsidP="00DE011F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3E5A7175" w14:textId="77777777" w:rsidR="00745BEB" w:rsidRPr="00D61398" w:rsidRDefault="00745BEB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D61398">
        <w:rPr>
          <w:rFonts w:ascii="Arial" w:hAnsi="Arial" w:cs="Arial"/>
          <w:b/>
          <w:sz w:val="22"/>
          <w:szCs w:val="22"/>
        </w:rPr>
        <w:t>DEFINICIONES</w:t>
      </w:r>
      <w:r w:rsidR="00D21AA3" w:rsidRPr="00D61398">
        <w:rPr>
          <w:rFonts w:ascii="Arial" w:hAnsi="Arial" w:cs="Arial"/>
          <w:b/>
          <w:sz w:val="22"/>
          <w:szCs w:val="22"/>
        </w:rPr>
        <w:t>:</w:t>
      </w:r>
    </w:p>
    <w:p w14:paraId="2EBF5FC2" w14:textId="77777777" w:rsidR="00D92D54" w:rsidRPr="00D61398" w:rsidRDefault="00D92D54" w:rsidP="00D92D54">
      <w:pPr>
        <w:rPr>
          <w:rFonts w:ascii="Arial" w:hAnsi="Arial" w:cs="Arial"/>
          <w:b/>
          <w:sz w:val="22"/>
          <w:szCs w:val="22"/>
        </w:rPr>
      </w:pPr>
    </w:p>
    <w:p w14:paraId="7EC96F89" w14:textId="77777777" w:rsidR="00D92D54" w:rsidRPr="00D61398" w:rsidRDefault="00D92D54" w:rsidP="00F347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1398">
        <w:rPr>
          <w:rFonts w:ascii="Arial" w:hAnsi="Arial" w:cs="Arial"/>
          <w:b/>
          <w:bCs/>
          <w:color w:val="000000"/>
          <w:sz w:val="22"/>
          <w:szCs w:val="22"/>
        </w:rPr>
        <w:t>3.1 Requerimiento ordinario:</w:t>
      </w:r>
      <w:r w:rsidRPr="00D61398">
        <w:rPr>
          <w:rFonts w:ascii="Arial" w:hAnsi="Arial" w:cs="Arial"/>
          <w:color w:val="000000"/>
          <w:sz w:val="22"/>
          <w:szCs w:val="22"/>
        </w:rPr>
        <w:t xml:space="preserve"> Este requerimiento es un oficio mediante el cual se exige al contribuyente, responsable, agente de retención o a terceros, la presentación de documentos que contengan el registro de sus operaciones y las transacciones con otras personas, ya sean clientes, proveedores, empleados, entidades financieras, socios o cualquier otra circunstancia</w:t>
      </w:r>
    </w:p>
    <w:p w14:paraId="10C8E7B6" w14:textId="77777777" w:rsidR="00D92D54" w:rsidRPr="00D61398" w:rsidRDefault="00D92D54" w:rsidP="00D92D54">
      <w:pPr>
        <w:rPr>
          <w:rFonts w:ascii="Arial" w:hAnsi="Arial" w:cs="Arial"/>
          <w:sz w:val="22"/>
          <w:szCs w:val="22"/>
        </w:rPr>
      </w:pPr>
    </w:p>
    <w:p w14:paraId="066DFE39" w14:textId="77777777" w:rsidR="00D92D54" w:rsidRPr="00D61398" w:rsidRDefault="00D92D54" w:rsidP="00D92D54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61398">
        <w:rPr>
          <w:rFonts w:ascii="Arial" w:hAnsi="Arial" w:cs="Arial"/>
          <w:b/>
          <w:bCs/>
          <w:color w:val="000000"/>
          <w:sz w:val="22"/>
          <w:szCs w:val="22"/>
        </w:rPr>
        <w:t xml:space="preserve">Auditoria Tributaria: </w:t>
      </w:r>
      <w:r w:rsidRPr="00D61398">
        <w:rPr>
          <w:rFonts w:ascii="Arial" w:hAnsi="Arial" w:cs="Arial"/>
          <w:color w:val="000000"/>
          <w:sz w:val="22"/>
          <w:szCs w:val="22"/>
        </w:rPr>
        <w:t>Es un procedimiento, basado en la normativa legal y administrativa vigente, destinado a fiscalizar el correcto cumplimiento de la obligación tributaria de los contribuyentes.</w:t>
      </w:r>
    </w:p>
    <w:p w14:paraId="44BE80A9" w14:textId="77777777" w:rsidR="00D92D54" w:rsidRPr="00D61398" w:rsidRDefault="00D92D54" w:rsidP="00D92D54">
      <w:pPr>
        <w:rPr>
          <w:rFonts w:ascii="Arial" w:hAnsi="Arial" w:cs="Arial"/>
          <w:sz w:val="22"/>
          <w:szCs w:val="22"/>
        </w:rPr>
      </w:pPr>
    </w:p>
    <w:p w14:paraId="5B5AB6D3" w14:textId="77777777" w:rsidR="00D92D54" w:rsidRPr="00D61398" w:rsidRDefault="00D92D54" w:rsidP="00D92D54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1398">
        <w:rPr>
          <w:rFonts w:ascii="Arial" w:hAnsi="Arial" w:cs="Arial"/>
          <w:b/>
          <w:bCs/>
          <w:color w:val="000000"/>
          <w:sz w:val="22"/>
          <w:szCs w:val="22"/>
        </w:rPr>
        <w:t xml:space="preserve"> Emplazamiento: </w:t>
      </w:r>
      <w:r w:rsidRPr="00D61398">
        <w:rPr>
          <w:rFonts w:ascii="Arial" w:hAnsi="Arial" w:cs="Arial"/>
          <w:color w:val="000000"/>
          <w:sz w:val="22"/>
          <w:szCs w:val="22"/>
        </w:rPr>
        <w:t>Aviso mediante el cual se cita a una persona en un lugar y un momento determinados, especialmente para contar o justificar algo.</w:t>
      </w:r>
    </w:p>
    <w:p w14:paraId="422497EA" w14:textId="77777777" w:rsidR="00D92D54" w:rsidRPr="00D61398" w:rsidRDefault="00D92D54" w:rsidP="00D92D5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14:paraId="10E4CEFE" w14:textId="77777777" w:rsidR="00D92D54" w:rsidRPr="00D61398" w:rsidRDefault="00D92D54" w:rsidP="00D92D54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1398">
        <w:rPr>
          <w:rFonts w:ascii="Arial" w:hAnsi="Arial" w:cs="Arial"/>
          <w:b/>
          <w:bCs/>
          <w:color w:val="000000"/>
          <w:sz w:val="22"/>
          <w:szCs w:val="22"/>
        </w:rPr>
        <w:t>Extemporáneo:</w:t>
      </w:r>
      <w:r w:rsidRPr="00D61398">
        <w:rPr>
          <w:rFonts w:ascii="Arial" w:hAnsi="Arial" w:cs="Arial"/>
          <w:color w:val="000000"/>
          <w:sz w:val="22"/>
          <w:szCs w:val="22"/>
        </w:rPr>
        <w:t xml:space="preserve"> La condición esencial de un extemporáneo como inoportuno, intempestivo, inadecuado, impropio, ajeno, inadmisible y incongruente en el hecho, </w:t>
      </w:r>
      <w:hyperlink r:id="rId8" w:history="1">
        <w:r w:rsidRPr="00D61398">
          <w:rPr>
            <w:rStyle w:val="Hipervnculo"/>
            <w:rFonts w:ascii="Arial" w:hAnsi="Arial" w:cs="Arial"/>
            <w:color w:val="000000"/>
            <w:sz w:val="22"/>
            <w:szCs w:val="22"/>
          </w:rPr>
          <w:t>suceso</w:t>
        </w:r>
      </w:hyperlink>
      <w:r w:rsidRPr="00D61398">
        <w:rPr>
          <w:rFonts w:ascii="Arial" w:hAnsi="Arial" w:cs="Arial"/>
          <w:color w:val="000000"/>
          <w:sz w:val="22"/>
          <w:szCs w:val="22"/>
        </w:rPr>
        <w:t xml:space="preserve"> o de cualquier lapso de tiempo o temporada.</w:t>
      </w:r>
    </w:p>
    <w:p w14:paraId="34E597BA" w14:textId="77777777" w:rsidR="00D92D54" w:rsidRPr="00D61398" w:rsidRDefault="00D92D54" w:rsidP="00D92D5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FA8FE9" w14:textId="77777777" w:rsidR="00D92D54" w:rsidRPr="00D61398" w:rsidRDefault="00D92D54" w:rsidP="00D92D54">
      <w:pPr>
        <w:jc w:val="both"/>
        <w:rPr>
          <w:rFonts w:ascii="Arial" w:hAnsi="Arial" w:cs="Arial"/>
          <w:b/>
          <w:sz w:val="22"/>
          <w:szCs w:val="22"/>
        </w:rPr>
      </w:pPr>
      <w:r w:rsidRPr="00D61398">
        <w:rPr>
          <w:rFonts w:ascii="Arial" w:hAnsi="Arial" w:cs="Arial"/>
          <w:b/>
          <w:bCs/>
          <w:color w:val="000000"/>
          <w:sz w:val="22"/>
          <w:szCs w:val="22"/>
        </w:rPr>
        <w:t xml:space="preserve">3.5 Acto Administrativo Tributario: </w:t>
      </w:r>
      <w:r w:rsidRPr="00D61398">
        <w:rPr>
          <w:rFonts w:ascii="Arial" w:hAnsi="Arial" w:cs="Arial"/>
          <w:color w:val="000000"/>
          <w:sz w:val="22"/>
          <w:szCs w:val="22"/>
        </w:rPr>
        <w:t>Acto jurídico decisorio de carácter general o     especial. Emitido por la Administración Tributaria en el ejercicio de sus funciones.</w:t>
      </w:r>
    </w:p>
    <w:p w14:paraId="15AC5D7D" w14:textId="0113427A" w:rsidR="008F00F8" w:rsidRPr="00D61398" w:rsidRDefault="008F00F8" w:rsidP="008F00F8">
      <w:pPr>
        <w:rPr>
          <w:rFonts w:ascii="Arial" w:hAnsi="Arial" w:cs="Arial"/>
          <w:sz w:val="22"/>
          <w:szCs w:val="22"/>
        </w:rPr>
      </w:pPr>
    </w:p>
    <w:p w14:paraId="108B3D49" w14:textId="77777777" w:rsidR="00745BEB" w:rsidRPr="00D61398" w:rsidRDefault="00745BEB" w:rsidP="00D92D54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D61398">
        <w:rPr>
          <w:rFonts w:ascii="Arial" w:hAnsi="Arial" w:cs="Arial"/>
          <w:b/>
          <w:sz w:val="22"/>
          <w:szCs w:val="22"/>
        </w:rPr>
        <w:t>ACTIVIDADES Y COMO SE HACE</w:t>
      </w:r>
    </w:p>
    <w:p w14:paraId="48BAC7D3" w14:textId="77777777" w:rsidR="00745BEB" w:rsidRPr="00D61398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D21AA3" w:rsidRPr="00D61398" w14:paraId="6756376B" w14:textId="77777777" w:rsidTr="006A290C">
        <w:tc>
          <w:tcPr>
            <w:tcW w:w="6521" w:type="dxa"/>
          </w:tcPr>
          <w:p w14:paraId="4090CD3B" w14:textId="1D0A960E" w:rsidR="00D21AA3" w:rsidRPr="00D61398" w:rsidRDefault="00D21AA3" w:rsidP="005D3A53">
            <w:pPr>
              <w:jc w:val="center"/>
              <w:rPr>
                <w:rFonts w:ascii="Arial" w:hAnsi="Arial" w:cs="Arial"/>
                <w:b/>
              </w:rPr>
            </w:pPr>
            <w:r w:rsidRPr="00D61398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14:paraId="0E1E39A3" w14:textId="77777777" w:rsidR="00D21AA3" w:rsidRPr="00D61398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D61398">
              <w:rPr>
                <w:rFonts w:ascii="Arial" w:hAnsi="Arial" w:cs="Arial"/>
                <w:b/>
              </w:rPr>
              <w:t>CONTROLES /</w:t>
            </w:r>
          </w:p>
          <w:p w14:paraId="3895D697" w14:textId="77777777" w:rsidR="00D21AA3" w:rsidRPr="00D61398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D61398">
              <w:rPr>
                <w:rFonts w:ascii="Arial" w:hAnsi="Arial" w:cs="Arial"/>
                <w:b/>
              </w:rPr>
              <w:t>REGISTRO</w:t>
            </w:r>
          </w:p>
        </w:tc>
      </w:tr>
      <w:tr w:rsidR="00F347D5" w:rsidRPr="00D61398" w14:paraId="11CC13A2" w14:textId="77777777" w:rsidTr="0005574D">
        <w:tc>
          <w:tcPr>
            <w:tcW w:w="6521" w:type="dxa"/>
          </w:tcPr>
          <w:p w14:paraId="7198F888" w14:textId="77777777" w:rsidR="00F347D5" w:rsidRPr="00D61398" w:rsidRDefault="00F347D5" w:rsidP="00C45B3F">
            <w:pPr>
              <w:jc w:val="both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1)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los actos administrativos de los comerciantes y empresas que no se han matriculado en el impuesto de industria y comercio en la oficina de rentas municipal.</w:t>
            </w:r>
          </w:p>
        </w:tc>
        <w:tc>
          <w:tcPr>
            <w:tcW w:w="2454" w:type="dxa"/>
            <w:vAlign w:val="center"/>
          </w:tcPr>
          <w:p w14:paraId="1483727E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Resolución del acto administrativo: Matrícula de oficio.</w:t>
            </w:r>
          </w:p>
        </w:tc>
      </w:tr>
      <w:tr w:rsidR="00F347D5" w:rsidRPr="00D61398" w14:paraId="71686F00" w14:textId="77777777" w:rsidTr="0005574D">
        <w:tc>
          <w:tcPr>
            <w:tcW w:w="6521" w:type="dxa"/>
          </w:tcPr>
          <w:p w14:paraId="5D19E8BE" w14:textId="77777777" w:rsidR="00F347D5" w:rsidRPr="00D61398" w:rsidRDefault="00F347D5" w:rsidP="00C45B3F">
            <w:pPr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2)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realizará las auditorias tributarias a las declaraciones del impuesto de industria y comercio presentadas por los contribuyentes obligados</w:t>
            </w:r>
          </w:p>
        </w:tc>
        <w:tc>
          <w:tcPr>
            <w:tcW w:w="2454" w:type="dxa"/>
            <w:vAlign w:val="center"/>
          </w:tcPr>
          <w:p w14:paraId="4602B862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 xml:space="preserve">Formato de Auditoria Tributaria y Formato de Declaración del impuesto de industria </w:t>
            </w:r>
            <w:r w:rsidRPr="00D61398">
              <w:rPr>
                <w:rFonts w:ascii="Arial" w:hAnsi="Arial" w:cs="Arial"/>
              </w:rPr>
              <w:lastRenderedPageBreak/>
              <w:t>y comercio (DEC-02)</w:t>
            </w:r>
          </w:p>
        </w:tc>
      </w:tr>
      <w:tr w:rsidR="00F347D5" w:rsidRPr="00D61398" w14:paraId="525F02A1" w14:textId="77777777" w:rsidTr="0005574D">
        <w:tc>
          <w:tcPr>
            <w:tcW w:w="6521" w:type="dxa"/>
          </w:tcPr>
          <w:p w14:paraId="4E774650" w14:textId="77777777" w:rsidR="00F347D5" w:rsidRPr="00D61398" w:rsidRDefault="00F347D5" w:rsidP="00C45B3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lastRenderedPageBreak/>
              <w:t xml:space="preserve">3)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realizará las auditorias tributarias a las declaraciones y pagos de retención en la fuente del impuesto de industria y comercio “Reteica” de los obligados a presentar y cancelar en las fechas estipuladas en el calendario tributario.</w:t>
            </w:r>
          </w:p>
          <w:p w14:paraId="50D159E1" w14:textId="77777777" w:rsidR="00F347D5" w:rsidRPr="00D61398" w:rsidRDefault="00F347D5" w:rsidP="00C45B3F">
            <w:pPr>
              <w:pStyle w:val="Prrafodelista"/>
              <w:ind w:left="360"/>
              <w:rPr>
                <w:rFonts w:ascii="Arial" w:hAnsi="Arial" w:cs="Arial"/>
                <w:lang w:val="es-CO"/>
              </w:rPr>
            </w:pPr>
          </w:p>
        </w:tc>
        <w:tc>
          <w:tcPr>
            <w:tcW w:w="2454" w:type="dxa"/>
            <w:vAlign w:val="center"/>
          </w:tcPr>
          <w:p w14:paraId="0A71FF62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Formato de Auditoria Tributaria RETEICA y Formato Declaración Reteica ICA-03</w:t>
            </w:r>
          </w:p>
        </w:tc>
      </w:tr>
      <w:tr w:rsidR="00F347D5" w:rsidRPr="00D61398" w14:paraId="098D90AB" w14:textId="77777777" w:rsidTr="0005574D">
        <w:tc>
          <w:tcPr>
            <w:tcW w:w="6521" w:type="dxa"/>
          </w:tcPr>
          <w:p w14:paraId="21F4C4E3" w14:textId="77777777" w:rsidR="00F347D5" w:rsidRPr="00D61398" w:rsidRDefault="00F347D5" w:rsidP="00C45B3F">
            <w:pPr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4)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los actos administrativos de los comerciantes y empresas que no hayan presentado la declaración del impuesto de industria y comercio</w:t>
            </w:r>
          </w:p>
        </w:tc>
        <w:tc>
          <w:tcPr>
            <w:tcW w:w="2454" w:type="dxa"/>
            <w:vAlign w:val="center"/>
          </w:tcPr>
          <w:p w14:paraId="46320F9B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Resolución del acto administrativo: Emplazamiento por no declarar.</w:t>
            </w:r>
          </w:p>
        </w:tc>
      </w:tr>
      <w:tr w:rsidR="00F347D5" w:rsidRPr="00D61398" w14:paraId="66B45917" w14:textId="77777777" w:rsidTr="0005574D">
        <w:tc>
          <w:tcPr>
            <w:tcW w:w="6521" w:type="dxa"/>
          </w:tcPr>
          <w:p w14:paraId="16F39E0E" w14:textId="77777777" w:rsidR="00F347D5" w:rsidRPr="00D61398" w:rsidRDefault="00F347D5" w:rsidP="00C45B3F">
            <w:pPr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5)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los actos administrativos de los comerciantes y empresas que han presentado las declaraciones de industria y comercio con errores aritméticos o inexactitud en los datos.</w:t>
            </w:r>
          </w:p>
        </w:tc>
        <w:tc>
          <w:tcPr>
            <w:tcW w:w="2454" w:type="dxa"/>
            <w:vAlign w:val="center"/>
          </w:tcPr>
          <w:p w14:paraId="1B033FD4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Resolución del acto administrativo: Emplazamiento para corregir declaración privada</w:t>
            </w:r>
          </w:p>
        </w:tc>
      </w:tr>
      <w:tr w:rsidR="00F347D5" w:rsidRPr="00D61398" w14:paraId="267D6E93" w14:textId="77777777" w:rsidTr="0005574D">
        <w:tc>
          <w:tcPr>
            <w:tcW w:w="6521" w:type="dxa"/>
          </w:tcPr>
          <w:p w14:paraId="2FCAC696" w14:textId="04E44E88" w:rsidR="00F347D5" w:rsidRPr="00D61398" w:rsidRDefault="00F347D5" w:rsidP="006A290C">
            <w:pPr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6)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los actos administrativos de los comerciantes y empresas que han solicitado alguna modificación en la información adicional contenida en nuestras bases de datos (cambio de razón social, dirección, propietario, actividad económica, suspensión de actividad, cese de actividades,  </w:t>
            </w:r>
            <w:r w:rsidR="00AB5606" w:rsidRPr="00D61398">
              <w:rPr>
                <w:rFonts w:ascii="Arial" w:hAnsi="Arial" w:cs="Arial"/>
                <w:color w:val="000000"/>
              </w:rPr>
              <w:t>etc.</w:t>
            </w:r>
            <w:r w:rsidRPr="00D6139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54" w:type="dxa"/>
            <w:vAlign w:val="center"/>
          </w:tcPr>
          <w:p w14:paraId="11312C4E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Resolución del acto administrativo motivada por el hecho solicitado.</w:t>
            </w:r>
          </w:p>
        </w:tc>
      </w:tr>
      <w:tr w:rsidR="00F347D5" w:rsidRPr="00D61398" w14:paraId="4BA4529B" w14:textId="77777777" w:rsidTr="0005574D">
        <w:tc>
          <w:tcPr>
            <w:tcW w:w="6521" w:type="dxa"/>
          </w:tcPr>
          <w:p w14:paraId="3507C6C2" w14:textId="77777777" w:rsidR="00F347D5" w:rsidRPr="00D61398" w:rsidRDefault="00F347D5" w:rsidP="00C45B3F">
            <w:pPr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7)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los actos administrativos (Sanción por extemporaneidad) de los comerciantes y empresas que han presentado las declaraciones de industria y comercio después de la fecha indicada en el calendario tributario</w:t>
            </w:r>
          </w:p>
        </w:tc>
        <w:tc>
          <w:tcPr>
            <w:tcW w:w="2454" w:type="dxa"/>
            <w:vAlign w:val="center"/>
          </w:tcPr>
          <w:p w14:paraId="0660D3A7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Resolución del acto administrativo: Sanción por presentación extemporánea</w:t>
            </w:r>
          </w:p>
        </w:tc>
      </w:tr>
      <w:tr w:rsidR="00F347D5" w:rsidRPr="00D61398" w14:paraId="09F24211" w14:textId="77777777" w:rsidTr="0005574D">
        <w:tc>
          <w:tcPr>
            <w:tcW w:w="6521" w:type="dxa"/>
          </w:tcPr>
          <w:p w14:paraId="7A01F333" w14:textId="77777777" w:rsidR="00F347D5" w:rsidRPr="00D61398" w:rsidRDefault="00F347D5" w:rsidP="00C45B3F">
            <w:pPr>
              <w:jc w:val="both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8)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Auditará todos los tributos en cuanto a la forma y manera del cobro y el respectivo recaudo, además de su reconocimiento en la Tesorería</w:t>
            </w:r>
          </w:p>
        </w:tc>
        <w:tc>
          <w:tcPr>
            <w:tcW w:w="2454" w:type="dxa"/>
            <w:vAlign w:val="center"/>
          </w:tcPr>
          <w:p w14:paraId="37DBE523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Facturas o documentos de cobro expedido por el ente territorial.</w:t>
            </w:r>
          </w:p>
        </w:tc>
      </w:tr>
      <w:tr w:rsidR="00F347D5" w:rsidRPr="00D61398" w14:paraId="4F9A4719" w14:textId="77777777" w:rsidTr="0005574D">
        <w:tc>
          <w:tcPr>
            <w:tcW w:w="6521" w:type="dxa"/>
          </w:tcPr>
          <w:p w14:paraId="2DDD2B31" w14:textId="77777777" w:rsidR="00F347D5" w:rsidRPr="00D61398" w:rsidRDefault="00F347D5" w:rsidP="00495C66">
            <w:pPr>
              <w:jc w:val="both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9)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los requerimientos ordinarios objeto de solicitud para verificar, evidenciar, subsanar cualquier información con respecto a cualquier tributo municipal</w:t>
            </w:r>
          </w:p>
        </w:tc>
        <w:tc>
          <w:tcPr>
            <w:tcW w:w="2454" w:type="dxa"/>
            <w:vAlign w:val="center"/>
          </w:tcPr>
          <w:p w14:paraId="18CEC64D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Resolución del requerimiento ordinario.</w:t>
            </w:r>
          </w:p>
        </w:tc>
      </w:tr>
      <w:tr w:rsidR="00F347D5" w:rsidRPr="00D61398" w14:paraId="4AEA87D1" w14:textId="77777777" w:rsidTr="0005574D">
        <w:tc>
          <w:tcPr>
            <w:tcW w:w="6521" w:type="dxa"/>
          </w:tcPr>
          <w:p w14:paraId="6CA65CBA" w14:textId="77777777" w:rsidR="00F347D5" w:rsidRPr="00D61398" w:rsidRDefault="00F347D5" w:rsidP="00C45B3F">
            <w:pPr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 xml:space="preserve">10) 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>PROFESIONAL UNIVERSITARIO DE FISCALIZACIÒN DE IMPUESTOS,</w:t>
            </w:r>
            <w:r w:rsidRPr="00D61398">
              <w:rPr>
                <w:rFonts w:ascii="Arial" w:hAnsi="Arial" w:cs="Arial"/>
                <w:color w:val="000000"/>
              </w:rPr>
              <w:t xml:space="preserve"> proyectará cada una de las respuestas a las PQR que lleguen a nuestro despacho sobre cualquier tributo del ente territorial.</w:t>
            </w:r>
          </w:p>
        </w:tc>
        <w:tc>
          <w:tcPr>
            <w:tcW w:w="2454" w:type="dxa"/>
            <w:vAlign w:val="center"/>
          </w:tcPr>
          <w:p w14:paraId="454032D2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</w:rPr>
              <w:t>Respuestas a oficios radicados a este despacho.</w:t>
            </w:r>
          </w:p>
        </w:tc>
      </w:tr>
      <w:tr w:rsidR="00F347D5" w:rsidRPr="00D61398" w14:paraId="5B6F4FE0" w14:textId="77777777" w:rsidTr="0005574D">
        <w:tc>
          <w:tcPr>
            <w:tcW w:w="6521" w:type="dxa"/>
          </w:tcPr>
          <w:p w14:paraId="22693B7D" w14:textId="77777777" w:rsidR="00F347D5" w:rsidRPr="00D61398" w:rsidRDefault="00F347D5" w:rsidP="00F43C22">
            <w:pPr>
              <w:jc w:val="both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</w:rPr>
              <w:t>11)</w:t>
            </w:r>
            <w:r w:rsidRPr="00D61398">
              <w:rPr>
                <w:rFonts w:ascii="Arial" w:hAnsi="Arial" w:cs="Arial"/>
                <w:b/>
                <w:bCs/>
                <w:color w:val="000000"/>
              </w:rPr>
              <w:t xml:space="preserve"> PROFESIONAL DE PRESUPUESTO</w:t>
            </w:r>
            <w:r w:rsidRPr="00D61398">
              <w:rPr>
                <w:rFonts w:ascii="Arial" w:hAnsi="Arial" w:cs="Arial"/>
                <w:color w:val="000000"/>
              </w:rPr>
              <w:t>, conserva los documentos y registros acorde al procedimiento de elaboración y control de la información documentada</w:t>
            </w:r>
          </w:p>
        </w:tc>
        <w:tc>
          <w:tcPr>
            <w:tcW w:w="2454" w:type="dxa"/>
            <w:vAlign w:val="center"/>
          </w:tcPr>
          <w:p w14:paraId="3A1BE6BA" w14:textId="77777777" w:rsidR="00F347D5" w:rsidRPr="00D61398" w:rsidRDefault="00F347D5" w:rsidP="00DD631C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8582A34" w14:textId="77777777" w:rsidR="00D34547" w:rsidRPr="00D61398" w:rsidRDefault="00D34547" w:rsidP="00BD7CCC">
      <w:pPr>
        <w:rPr>
          <w:rFonts w:ascii="Arial" w:hAnsi="Arial" w:cs="Arial"/>
          <w:sz w:val="22"/>
          <w:szCs w:val="22"/>
        </w:rPr>
      </w:pPr>
    </w:p>
    <w:p w14:paraId="4957E0F6" w14:textId="1EABE3EE" w:rsidR="00C45B3F" w:rsidRDefault="00C45B3F" w:rsidP="00BD7CCC">
      <w:pPr>
        <w:rPr>
          <w:rFonts w:ascii="Arial" w:hAnsi="Arial" w:cs="Arial"/>
          <w:sz w:val="22"/>
          <w:szCs w:val="22"/>
        </w:rPr>
      </w:pPr>
    </w:p>
    <w:p w14:paraId="4353DBC1" w14:textId="77777777" w:rsidR="00D61398" w:rsidRPr="00D61398" w:rsidRDefault="00D61398" w:rsidP="00BD7CCC">
      <w:pPr>
        <w:rPr>
          <w:rFonts w:ascii="Arial" w:hAnsi="Arial" w:cs="Arial"/>
          <w:sz w:val="22"/>
          <w:szCs w:val="22"/>
        </w:rPr>
      </w:pPr>
    </w:p>
    <w:p w14:paraId="4B5E0F90" w14:textId="77777777" w:rsidR="00F0740F" w:rsidRPr="00D61398" w:rsidRDefault="00F0740F" w:rsidP="00D92D54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D61398">
        <w:rPr>
          <w:rFonts w:ascii="Arial" w:hAnsi="Arial" w:cs="Arial"/>
          <w:b/>
          <w:sz w:val="22"/>
          <w:szCs w:val="22"/>
        </w:rPr>
        <w:lastRenderedPageBreak/>
        <w:t>CONTROL DE CAMBIOS</w:t>
      </w:r>
    </w:p>
    <w:p w14:paraId="7287EB1D" w14:textId="77777777" w:rsidR="00F0740F" w:rsidRPr="00D61398" w:rsidRDefault="00F0740F" w:rsidP="00BD7CCC">
      <w:pPr>
        <w:rPr>
          <w:rFonts w:ascii="Arial" w:hAnsi="Arial" w:cs="Arial"/>
          <w:sz w:val="22"/>
          <w:szCs w:val="22"/>
        </w:rPr>
      </w:pPr>
    </w:p>
    <w:p w14:paraId="6353B5A3" w14:textId="77777777" w:rsidR="00091136" w:rsidRPr="00D61398" w:rsidRDefault="00091136" w:rsidP="0009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629"/>
        <w:gridCol w:w="2432"/>
        <w:gridCol w:w="2806"/>
        <w:gridCol w:w="1531"/>
      </w:tblGrid>
      <w:tr w:rsidR="00091136" w:rsidRPr="00D61398" w14:paraId="479BC849" w14:textId="77777777" w:rsidTr="000911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2308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A433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Versión 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1E82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Naturaleza del 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1CDF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del 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60F7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Versión Final</w:t>
            </w:r>
          </w:p>
        </w:tc>
      </w:tr>
      <w:tr w:rsidR="00091136" w:rsidRPr="00D61398" w14:paraId="37C6EB7B" w14:textId="77777777" w:rsidTr="000911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6938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54DE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CC72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1EBD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  <w:sz w:val="22"/>
                <w:szCs w:val="22"/>
              </w:rPr>
              <w:t>Creación del procedimiento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ECA9" w14:textId="77777777" w:rsidR="00091136" w:rsidRPr="00D61398" w:rsidRDefault="0009113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D613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</w:tbl>
    <w:p w14:paraId="6544B096" w14:textId="77777777" w:rsidR="00091136" w:rsidRPr="00D61398" w:rsidRDefault="00091136" w:rsidP="00BD7CCC">
      <w:pPr>
        <w:rPr>
          <w:rFonts w:ascii="Arial" w:hAnsi="Arial" w:cs="Arial"/>
          <w:sz w:val="22"/>
          <w:szCs w:val="22"/>
        </w:rPr>
      </w:pPr>
    </w:p>
    <w:sectPr w:rsidR="00091136" w:rsidRPr="00D61398" w:rsidSect="00D41EDA">
      <w:headerReference w:type="default" r:id="rId9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C298" w14:textId="77777777" w:rsidR="004D6D7C" w:rsidRPr="00E363F7" w:rsidRDefault="004D6D7C" w:rsidP="00E363F7">
      <w:r>
        <w:separator/>
      </w:r>
    </w:p>
  </w:endnote>
  <w:endnote w:type="continuationSeparator" w:id="0">
    <w:p w14:paraId="307A1A1E" w14:textId="77777777" w:rsidR="004D6D7C" w:rsidRPr="00E363F7" w:rsidRDefault="004D6D7C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482" w14:textId="77777777" w:rsidR="004D6D7C" w:rsidRPr="00E363F7" w:rsidRDefault="004D6D7C" w:rsidP="00E363F7">
      <w:r>
        <w:separator/>
      </w:r>
    </w:p>
  </w:footnote>
  <w:footnote w:type="continuationSeparator" w:id="0">
    <w:p w14:paraId="22CA98B9" w14:textId="77777777" w:rsidR="004D6D7C" w:rsidRPr="00E363F7" w:rsidRDefault="004D6D7C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56A2" w14:textId="77777777" w:rsidR="00161143" w:rsidRDefault="00161143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161143" w:rsidRPr="009E7573" w14:paraId="66E36485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59A5448A" w14:textId="25A232E8" w:rsidR="00161143" w:rsidRPr="009E7573" w:rsidRDefault="003E5E43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5A87ACFF" wp14:editId="2E886FF8">
                <wp:simplePos x="0" y="0"/>
                <wp:positionH relativeFrom="column">
                  <wp:posOffset>147320</wp:posOffset>
                </wp:positionH>
                <wp:positionV relativeFrom="paragraph">
                  <wp:posOffset>55245</wp:posOffset>
                </wp:positionV>
                <wp:extent cx="871849" cy="7905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49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14A53702" w14:textId="387B339D" w:rsidR="00161143" w:rsidRPr="00D61398" w:rsidRDefault="003E5E43" w:rsidP="003E5E43">
          <w:pPr>
            <w:jc w:val="center"/>
            <w:rPr>
              <w:rFonts w:ascii="Arial" w:hAnsi="Arial" w:cs="Arial"/>
              <w:b/>
            </w:rPr>
          </w:pPr>
          <w:r w:rsidRPr="00D61398">
            <w:rPr>
              <w:rFonts w:ascii="Arial" w:hAnsi="Arial" w:cs="Arial"/>
              <w:b/>
              <w:sz w:val="22"/>
              <w:szCs w:val="22"/>
            </w:rPr>
            <w:t>FISCALIZACI</w:t>
          </w:r>
          <w:r w:rsidR="00B4000E" w:rsidRPr="00D61398">
            <w:rPr>
              <w:rFonts w:ascii="Arial" w:hAnsi="Arial" w:cs="Arial"/>
              <w:b/>
              <w:sz w:val="22"/>
              <w:szCs w:val="22"/>
            </w:rPr>
            <w:t>Ó</w:t>
          </w:r>
          <w:r w:rsidRPr="00D61398">
            <w:rPr>
              <w:rFonts w:ascii="Arial" w:hAnsi="Arial" w:cs="Arial"/>
              <w:b/>
              <w:sz w:val="22"/>
              <w:szCs w:val="22"/>
            </w:rPr>
            <w:t>N DE IMPUESTOS</w:t>
          </w:r>
        </w:p>
      </w:tc>
      <w:tc>
        <w:tcPr>
          <w:tcW w:w="2422" w:type="dxa"/>
          <w:vAlign w:val="center"/>
        </w:tcPr>
        <w:p w14:paraId="213C064B" w14:textId="3E90A832" w:rsidR="00161143" w:rsidRPr="00D61398" w:rsidRDefault="00161143" w:rsidP="00962740">
          <w:pPr>
            <w:rPr>
              <w:rFonts w:ascii="Arial" w:hAnsi="Arial" w:cs="Arial"/>
              <w:b/>
              <w:bCs/>
            </w:rPr>
          </w:pPr>
          <w:r w:rsidRPr="00D61398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A57619" w:rsidRPr="00D61398">
            <w:rPr>
              <w:rFonts w:ascii="Arial" w:hAnsi="Arial" w:cs="Arial"/>
              <w:b/>
              <w:bCs/>
              <w:sz w:val="22"/>
              <w:szCs w:val="22"/>
            </w:rPr>
            <w:t>A-GF-P-005</w:t>
          </w:r>
        </w:p>
      </w:tc>
      <w:tc>
        <w:tcPr>
          <w:tcW w:w="1327" w:type="dxa"/>
          <w:vMerge w:val="restart"/>
        </w:tcPr>
        <w:p w14:paraId="16CA386D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78DA273A" wp14:editId="641FC44B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143" w:rsidRPr="009E7573" w14:paraId="6970CD5D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3C9421A0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9DAD2C4" w14:textId="77777777" w:rsidR="00161143" w:rsidRPr="00D61398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AD4624C" w14:textId="2810F0C2" w:rsidR="00161143" w:rsidRPr="00D61398" w:rsidRDefault="00161143" w:rsidP="00962740">
          <w:pPr>
            <w:rPr>
              <w:rFonts w:ascii="Arial" w:hAnsi="Arial" w:cs="Arial"/>
              <w:b/>
              <w:bCs/>
            </w:rPr>
          </w:pPr>
          <w:r w:rsidRPr="00D61398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A57619" w:rsidRPr="00D6139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40CBE72F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  <w:tr w:rsidR="00161143" w:rsidRPr="009E7573" w14:paraId="70F925A2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27835A14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75237D51" w14:textId="77777777" w:rsidR="00161143" w:rsidRPr="00D61398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D8B7446" w14:textId="6F3E6396" w:rsidR="00161143" w:rsidRPr="00D61398" w:rsidRDefault="00161143" w:rsidP="00962740">
          <w:pPr>
            <w:rPr>
              <w:rFonts w:ascii="Arial" w:hAnsi="Arial" w:cs="Arial"/>
              <w:b/>
              <w:bCs/>
            </w:rPr>
          </w:pPr>
          <w:r w:rsidRPr="00D61398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AD272D" w:rsidRPr="00D61398">
            <w:rPr>
              <w:sz w:val="22"/>
              <w:szCs w:val="22"/>
            </w:rPr>
            <w:t xml:space="preserve"> </w:t>
          </w:r>
          <w:r w:rsidR="00AD272D" w:rsidRPr="00D61398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19F89858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2125A480" w14:textId="77777777" w:rsidR="00161143" w:rsidRDefault="00161143">
    <w:pPr>
      <w:pStyle w:val="Encabezado"/>
    </w:pPr>
  </w:p>
  <w:p w14:paraId="3C2484AA" w14:textId="77777777" w:rsidR="00161143" w:rsidRDefault="00161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62F1"/>
    <w:multiLevelType w:val="multilevel"/>
    <w:tmpl w:val="025A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479C"/>
    <w:multiLevelType w:val="multilevel"/>
    <w:tmpl w:val="DC0C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D3173"/>
    <w:multiLevelType w:val="multilevel"/>
    <w:tmpl w:val="A46A2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673B"/>
    <w:multiLevelType w:val="multilevel"/>
    <w:tmpl w:val="42FA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69D3"/>
    <w:multiLevelType w:val="hybridMultilevel"/>
    <w:tmpl w:val="3F224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44CDE"/>
    <w:multiLevelType w:val="multilevel"/>
    <w:tmpl w:val="4EC2C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82A1C07"/>
    <w:multiLevelType w:val="hybridMultilevel"/>
    <w:tmpl w:val="D97E7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A7016"/>
    <w:multiLevelType w:val="multilevel"/>
    <w:tmpl w:val="75B2D0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8"/>
  </w:num>
  <w:num w:numId="6">
    <w:abstractNumId w:val="0"/>
  </w:num>
  <w:num w:numId="7">
    <w:abstractNumId w:val="17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AAD"/>
    <w:rsid w:val="00007D16"/>
    <w:rsid w:val="0001797B"/>
    <w:rsid w:val="00020E24"/>
    <w:rsid w:val="00025D13"/>
    <w:rsid w:val="00027884"/>
    <w:rsid w:val="00032EF9"/>
    <w:rsid w:val="0004004A"/>
    <w:rsid w:val="00055065"/>
    <w:rsid w:val="00057F23"/>
    <w:rsid w:val="000667C8"/>
    <w:rsid w:val="00070D60"/>
    <w:rsid w:val="000873C0"/>
    <w:rsid w:val="00091136"/>
    <w:rsid w:val="00095A6E"/>
    <w:rsid w:val="000A5CFA"/>
    <w:rsid w:val="000B480F"/>
    <w:rsid w:val="000C21DE"/>
    <w:rsid w:val="000F26CB"/>
    <w:rsid w:val="001019CB"/>
    <w:rsid w:val="00123F42"/>
    <w:rsid w:val="00126A2D"/>
    <w:rsid w:val="001279BA"/>
    <w:rsid w:val="00134746"/>
    <w:rsid w:val="00137F79"/>
    <w:rsid w:val="00144AC7"/>
    <w:rsid w:val="00161143"/>
    <w:rsid w:val="001741C8"/>
    <w:rsid w:val="001817B4"/>
    <w:rsid w:val="0019645F"/>
    <w:rsid w:val="001A428E"/>
    <w:rsid w:val="001C53BB"/>
    <w:rsid w:val="001C6C26"/>
    <w:rsid w:val="001D5D27"/>
    <w:rsid w:val="001D5FCA"/>
    <w:rsid w:val="001E2DD8"/>
    <w:rsid w:val="001E76F2"/>
    <w:rsid w:val="001F5630"/>
    <w:rsid w:val="00204E24"/>
    <w:rsid w:val="00206723"/>
    <w:rsid w:val="002101BE"/>
    <w:rsid w:val="0021070B"/>
    <w:rsid w:val="002205A7"/>
    <w:rsid w:val="00232448"/>
    <w:rsid w:val="00240EB1"/>
    <w:rsid w:val="002423E5"/>
    <w:rsid w:val="00252B78"/>
    <w:rsid w:val="00264CDE"/>
    <w:rsid w:val="00267101"/>
    <w:rsid w:val="002853A3"/>
    <w:rsid w:val="002B29E3"/>
    <w:rsid w:val="002C0DC2"/>
    <w:rsid w:val="002E15ED"/>
    <w:rsid w:val="002E424B"/>
    <w:rsid w:val="002E5DF8"/>
    <w:rsid w:val="002F5AF2"/>
    <w:rsid w:val="00316B35"/>
    <w:rsid w:val="00316E37"/>
    <w:rsid w:val="00320038"/>
    <w:rsid w:val="00324C50"/>
    <w:rsid w:val="0033536F"/>
    <w:rsid w:val="00346DA0"/>
    <w:rsid w:val="003867DC"/>
    <w:rsid w:val="00392591"/>
    <w:rsid w:val="0039285A"/>
    <w:rsid w:val="00394AAD"/>
    <w:rsid w:val="003A3B7A"/>
    <w:rsid w:val="003D53DE"/>
    <w:rsid w:val="003E250B"/>
    <w:rsid w:val="003E3267"/>
    <w:rsid w:val="003E381F"/>
    <w:rsid w:val="003E5E43"/>
    <w:rsid w:val="00422773"/>
    <w:rsid w:val="00434DE0"/>
    <w:rsid w:val="00446A84"/>
    <w:rsid w:val="00451821"/>
    <w:rsid w:val="00454A16"/>
    <w:rsid w:val="00476967"/>
    <w:rsid w:val="00495C66"/>
    <w:rsid w:val="00497F78"/>
    <w:rsid w:val="004B1112"/>
    <w:rsid w:val="004C4A41"/>
    <w:rsid w:val="004D4B01"/>
    <w:rsid w:val="004D61E7"/>
    <w:rsid w:val="004D6D7C"/>
    <w:rsid w:val="004E7CD2"/>
    <w:rsid w:val="004F6D9A"/>
    <w:rsid w:val="00506D89"/>
    <w:rsid w:val="0053118A"/>
    <w:rsid w:val="00557982"/>
    <w:rsid w:val="00561329"/>
    <w:rsid w:val="00561A70"/>
    <w:rsid w:val="00572F35"/>
    <w:rsid w:val="00574C40"/>
    <w:rsid w:val="0058469F"/>
    <w:rsid w:val="005918D6"/>
    <w:rsid w:val="005A2BD3"/>
    <w:rsid w:val="005A6E03"/>
    <w:rsid w:val="005C52E7"/>
    <w:rsid w:val="005D3A53"/>
    <w:rsid w:val="005E7E33"/>
    <w:rsid w:val="0060119D"/>
    <w:rsid w:val="00606A75"/>
    <w:rsid w:val="00636266"/>
    <w:rsid w:val="00661114"/>
    <w:rsid w:val="0067117F"/>
    <w:rsid w:val="00675C04"/>
    <w:rsid w:val="006802B8"/>
    <w:rsid w:val="00687503"/>
    <w:rsid w:val="00690ECC"/>
    <w:rsid w:val="0069429D"/>
    <w:rsid w:val="006A290C"/>
    <w:rsid w:val="006A7754"/>
    <w:rsid w:val="006B0E99"/>
    <w:rsid w:val="006B2C29"/>
    <w:rsid w:val="006C2B55"/>
    <w:rsid w:val="006C4AA7"/>
    <w:rsid w:val="006D342E"/>
    <w:rsid w:val="007045F1"/>
    <w:rsid w:val="00724B57"/>
    <w:rsid w:val="007335D6"/>
    <w:rsid w:val="00734712"/>
    <w:rsid w:val="00745BEB"/>
    <w:rsid w:val="0075331F"/>
    <w:rsid w:val="00766DE3"/>
    <w:rsid w:val="0077238C"/>
    <w:rsid w:val="00796E86"/>
    <w:rsid w:val="007A1E51"/>
    <w:rsid w:val="007A64C8"/>
    <w:rsid w:val="007D7488"/>
    <w:rsid w:val="007F445F"/>
    <w:rsid w:val="00824BFD"/>
    <w:rsid w:val="00832060"/>
    <w:rsid w:val="0083670B"/>
    <w:rsid w:val="00843294"/>
    <w:rsid w:val="00846748"/>
    <w:rsid w:val="008604CE"/>
    <w:rsid w:val="008838E2"/>
    <w:rsid w:val="008958CB"/>
    <w:rsid w:val="008B158F"/>
    <w:rsid w:val="008D1CA4"/>
    <w:rsid w:val="008E0F2A"/>
    <w:rsid w:val="008F00F8"/>
    <w:rsid w:val="0092496C"/>
    <w:rsid w:val="00926107"/>
    <w:rsid w:val="0093688F"/>
    <w:rsid w:val="00943751"/>
    <w:rsid w:val="00945487"/>
    <w:rsid w:val="00961C3B"/>
    <w:rsid w:val="00962740"/>
    <w:rsid w:val="00967CF7"/>
    <w:rsid w:val="009718D5"/>
    <w:rsid w:val="00973090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2433D"/>
    <w:rsid w:val="00A40112"/>
    <w:rsid w:val="00A427FA"/>
    <w:rsid w:val="00A4422D"/>
    <w:rsid w:val="00A57619"/>
    <w:rsid w:val="00A73190"/>
    <w:rsid w:val="00A84BA8"/>
    <w:rsid w:val="00AB1C38"/>
    <w:rsid w:val="00AB37BA"/>
    <w:rsid w:val="00AB5606"/>
    <w:rsid w:val="00AB7EDE"/>
    <w:rsid w:val="00AD272D"/>
    <w:rsid w:val="00B06362"/>
    <w:rsid w:val="00B20C39"/>
    <w:rsid w:val="00B36093"/>
    <w:rsid w:val="00B4000E"/>
    <w:rsid w:val="00B54529"/>
    <w:rsid w:val="00BB2FD4"/>
    <w:rsid w:val="00BC5E0C"/>
    <w:rsid w:val="00BD1E98"/>
    <w:rsid w:val="00BD68A4"/>
    <w:rsid w:val="00BD771A"/>
    <w:rsid w:val="00BD7CCC"/>
    <w:rsid w:val="00BE27DD"/>
    <w:rsid w:val="00BE4CE2"/>
    <w:rsid w:val="00BE50D9"/>
    <w:rsid w:val="00C03E04"/>
    <w:rsid w:val="00C116AE"/>
    <w:rsid w:val="00C26D40"/>
    <w:rsid w:val="00C45B3F"/>
    <w:rsid w:val="00C50CFC"/>
    <w:rsid w:val="00C51286"/>
    <w:rsid w:val="00C5173C"/>
    <w:rsid w:val="00C52254"/>
    <w:rsid w:val="00C7592E"/>
    <w:rsid w:val="00C76248"/>
    <w:rsid w:val="00C76807"/>
    <w:rsid w:val="00D00C65"/>
    <w:rsid w:val="00D21AA3"/>
    <w:rsid w:val="00D34547"/>
    <w:rsid w:val="00D41EDA"/>
    <w:rsid w:val="00D61398"/>
    <w:rsid w:val="00D90E8F"/>
    <w:rsid w:val="00D92D54"/>
    <w:rsid w:val="00DB3D12"/>
    <w:rsid w:val="00DC19F8"/>
    <w:rsid w:val="00DD7D01"/>
    <w:rsid w:val="00DE011F"/>
    <w:rsid w:val="00DE2CE9"/>
    <w:rsid w:val="00DE397F"/>
    <w:rsid w:val="00DE3D3E"/>
    <w:rsid w:val="00E010B1"/>
    <w:rsid w:val="00E060E3"/>
    <w:rsid w:val="00E2172D"/>
    <w:rsid w:val="00E363F7"/>
    <w:rsid w:val="00E41814"/>
    <w:rsid w:val="00E42AC8"/>
    <w:rsid w:val="00E45F50"/>
    <w:rsid w:val="00E66761"/>
    <w:rsid w:val="00E76D71"/>
    <w:rsid w:val="00E83D25"/>
    <w:rsid w:val="00EA2604"/>
    <w:rsid w:val="00EA5361"/>
    <w:rsid w:val="00EC2927"/>
    <w:rsid w:val="00EF4340"/>
    <w:rsid w:val="00EF7537"/>
    <w:rsid w:val="00F0740F"/>
    <w:rsid w:val="00F162F9"/>
    <w:rsid w:val="00F2440A"/>
    <w:rsid w:val="00F26299"/>
    <w:rsid w:val="00F347D5"/>
    <w:rsid w:val="00F43C22"/>
    <w:rsid w:val="00F43DBB"/>
    <w:rsid w:val="00F615DB"/>
    <w:rsid w:val="00F65584"/>
    <w:rsid w:val="00F9239C"/>
    <w:rsid w:val="00FA256E"/>
    <w:rsid w:val="00FB0136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0B0B1"/>
  <w15:docId w15:val="{0D9565BF-9882-4CC7-9529-7FAFBC0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A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1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D92D54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a.com/suce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F4B0-3067-4692-8F48-E741286D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Felipe</cp:lastModifiedBy>
  <cp:revision>13</cp:revision>
  <cp:lastPrinted>2018-04-10T21:53:00Z</cp:lastPrinted>
  <dcterms:created xsi:type="dcterms:W3CDTF">2020-05-14T13:39:00Z</dcterms:created>
  <dcterms:modified xsi:type="dcterms:W3CDTF">2021-06-01T20:23:00Z</dcterms:modified>
</cp:coreProperties>
</file>