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EB" w:rsidRPr="00F0687B" w:rsidRDefault="0097026C" w:rsidP="00745BEB">
      <w:pPr>
        <w:pStyle w:val="Prrafodelista"/>
        <w:numPr>
          <w:ilvl w:val="0"/>
          <w:numId w:val="5"/>
        </w:numPr>
        <w:rPr>
          <w:rFonts w:ascii="Arial" w:hAnsi="Arial" w:cs="Arial"/>
          <w:sz w:val="22"/>
          <w:szCs w:val="22"/>
        </w:rPr>
      </w:pPr>
      <w:r w:rsidRPr="00AB3669">
        <w:rPr>
          <w:rFonts w:ascii="Arial" w:hAnsi="Arial" w:cs="Arial"/>
          <w:b/>
          <w:sz w:val="22"/>
          <w:szCs w:val="22"/>
        </w:rPr>
        <w:t>PROPÓ</w:t>
      </w:r>
      <w:r w:rsidR="00745BEB" w:rsidRPr="00AB3669">
        <w:rPr>
          <w:rFonts w:ascii="Arial" w:hAnsi="Arial" w:cs="Arial"/>
          <w:b/>
          <w:sz w:val="22"/>
          <w:szCs w:val="22"/>
        </w:rPr>
        <w:t>SITO</w:t>
      </w:r>
      <w:r w:rsidR="00F0687B">
        <w:rPr>
          <w:rFonts w:ascii="Arial" w:hAnsi="Arial" w:cs="Arial"/>
          <w:b/>
          <w:sz w:val="22"/>
          <w:szCs w:val="22"/>
        </w:rPr>
        <w:t xml:space="preserve">: </w:t>
      </w:r>
      <w:r w:rsidR="00F0687B" w:rsidRPr="00F0687B">
        <w:rPr>
          <w:rFonts w:ascii="Arial" w:hAnsi="Arial" w:cs="Arial"/>
          <w:sz w:val="22"/>
          <w:szCs w:val="22"/>
        </w:rPr>
        <w:t xml:space="preserve">Impulsar las actividades concernientes al desarrollo del Proceso o practica de las Diligencias de Secuestro, Entrega y Restitución de </w:t>
      </w:r>
      <w:r w:rsidR="00F0687B">
        <w:rPr>
          <w:rFonts w:ascii="Arial" w:hAnsi="Arial" w:cs="Arial"/>
          <w:sz w:val="22"/>
          <w:szCs w:val="22"/>
        </w:rPr>
        <w:t>B</w:t>
      </w:r>
      <w:r w:rsidR="00F0687B" w:rsidRPr="00F0687B">
        <w:rPr>
          <w:rFonts w:ascii="Arial" w:hAnsi="Arial" w:cs="Arial"/>
          <w:sz w:val="22"/>
          <w:szCs w:val="22"/>
        </w:rPr>
        <w:t>ienes de conformidad a lo consagrado en la ley 1564 de 2012 Código General del Proceso.</w:t>
      </w:r>
    </w:p>
    <w:p w:rsidR="00B211F4" w:rsidRPr="00AB3669" w:rsidRDefault="00B211F4" w:rsidP="00B211F4">
      <w:pPr>
        <w:pStyle w:val="Prrafodelista"/>
        <w:rPr>
          <w:rFonts w:ascii="Arial" w:hAnsi="Arial" w:cs="Arial"/>
          <w:b/>
          <w:sz w:val="22"/>
          <w:szCs w:val="22"/>
        </w:rPr>
      </w:pPr>
    </w:p>
    <w:p w:rsidR="00745BEB" w:rsidRPr="00F0687B" w:rsidRDefault="00745BEB" w:rsidP="00B211F4">
      <w:pPr>
        <w:pStyle w:val="Prrafodelista"/>
        <w:numPr>
          <w:ilvl w:val="0"/>
          <w:numId w:val="5"/>
        </w:numPr>
        <w:rPr>
          <w:rFonts w:ascii="Arial" w:hAnsi="Arial" w:cs="Arial"/>
          <w:sz w:val="22"/>
          <w:szCs w:val="22"/>
        </w:rPr>
      </w:pPr>
      <w:r w:rsidRPr="00AB3669">
        <w:rPr>
          <w:rFonts w:ascii="Arial" w:hAnsi="Arial" w:cs="Arial"/>
          <w:b/>
          <w:sz w:val="22"/>
          <w:szCs w:val="22"/>
        </w:rPr>
        <w:t>ALCANCE</w:t>
      </w:r>
      <w:r w:rsidR="00F0687B">
        <w:rPr>
          <w:rFonts w:ascii="Arial" w:hAnsi="Arial" w:cs="Arial"/>
          <w:b/>
          <w:sz w:val="22"/>
          <w:szCs w:val="22"/>
        </w:rPr>
        <w:t xml:space="preserve">: </w:t>
      </w:r>
      <w:r w:rsidR="00EF30E6">
        <w:rPr>
          <w:rFonts w:ascii="Arial" w:hAnsi="Arial" w:cs="Arial"/>
          <w:sz w:val="22"/>
          <w:szCs w:val="22"/>
        </w:rPr>
        <w:t>Desde la recepción</w:t>
      </w:r>
      <w:bookmarkStart w:id="0" w:name="_GoBack"/>
      <w:bookmarkEnd w:id="0"/>
      <w:r w:rsidR="00F0687B" w:rsidRPr="00F0687B">
        <w:rPr>
          <w:rFonts w:ascii="Arial" w:hAnsi="Arial" w:cs="Arial"/>
          <w:sz w:val="22"/>
          <w:szCs w:val="22"/>
        </w:rPr>
        <w:t xml:space="preserve"> de los Despachos Comisorios hasta la decisión que ordena el Secuestro y entrega de los Bienes. Su notificación y ejecución de las mismas. </w:t>
      </w:r>
    </w:p>
    <w:p w:rsidR="00B211F4" w:rsidRPr="00F0687B" w:rsidRDefault="00B211F4" w:rsidP="00B211F4">
      <w:pPr>
        <w:rPr>
          <w:rFonts w:ascii="Arial" w:hAnsi="Arial" w:cs="Arial"/>
          <w:sz w:val="22"/>
          <w:szCs w:val="22"/>
        </w:rPr>
      </w:pPr>
    </w:p>
    <w:p w:rsidR="00745BEB" w:rsidRPr="00AB3669" w:rsidRDefault="00745BEB" w:rsidP="00B211F4">
      <w:pPr>
        <w:pStyle w:val="Prrafodelista"/>
        <w:numPr>
          <w:ilvl w:val="0"/>
          <w:numId w:val="5"/>
        </w:numPr>
        <w:rPr>
          <w:rFonts w:ascii="Arial" w:hAnsi="Arial" w:cs="Arial"/>
          <w:b/>
          <w:sz w:val="22"/>
          <w:szCs w:val="22"/>
        </w:rPr>
      </w:pPr>
      <w:r w:rsidRPr="00AB3669">
        <w:rPr>
          <w:rFonts w:ascii="Arial" w:hAnsi="Arial" w:cs="Arial"/>
          <w:b/>
          <w:sz w:val="22"/>
          <w:szCs w:val="22"/>
        </w:rPr>
        <w:t>DEFINICIONES</w:t>
      </w:r>
      <w:r w:rsidR="00F0687B">
        <w:rPr>
          <w:rFonts w:ascii="Arial" w:hAnsi="Arial" w:cs="Arial"/>
          <w:b/>
          <w:sz w:val="22"/>
          <w:szCs w:val="22"/>
        </w:rPr>
        <w:t xml:space="preserve">: </w:t>
      </w:r>
      <w:r w:rsidR="007270C7" w:rsidRPr="00D63F6E">
        <w:rPr>
          <w:rFonts w:ascii="Arial" w:hAnsi="Arial" w:cs="Arial"/>
          <w:sz w:val="22"/>
          <w:szCs w:val="22"/>
        </w:rPr>
        <w:t>Deci</w:t>
      </w:r>
      <w:r w:rsidR="007270C7">
        <w:rPr>
          <w:rFonts w:ascii="Arial" w:hAnsi="Arial" w:cs="Arial"/>
          <w:sz w:val="22"/>
          <w:szCs w:val="22"/>
        </w:rPr>
        <w:t>si</w:t>
      </w:r>
      <w:r w:rsidR="007270C7" w:rsidRPr="00D63F6E">
        <w:rPr>
          <w:rFonts w:ascii="Arial" w:hAnsi="Arial" w:cs="Arial"/>
          <w:sz w:val="22"/>
          <w:szCs w:val="22"/>
        </w:rPr>
        <w:t>ones</w:t>
      </w:r>
      <w:r w:rsidR="007270C7">
        <w:rPr>
          <w:rFonts w:ascii="Arial" w:hAnsi="Arial" w:cs="Arial"/>
          <w:sz w:val="22"/>
          <w:szCs w:val="22"/>
        </w:rPr>
        <w:t>,</w:t>
      </w:r>
      <w:r w:rsidR="00D63F6E" w:rsidRPr="00D63F6E">
        <w:rPr>
          <w:rFonts w:ascii="Arial" w:hAnsi="Arial" w:cs="Arial"/>
          <w:sz w:val="22"/>
          <w:szCs w:val="22"/>
        </w:rPr>
        <w:t xml:space="preserve"> entrega y secuestro de bienes Inmuebles</w:t>
      </w:r>
      <w:r w:rsidR="00D63F6E">
        <w:rPr>
          <w:rFonts w:ascii="Arial" w:hAnsi="Arial" w:cs="Arial"/>
          <w:b/>
          <w:sz w:val="22"/>
          <w:szCs w:val="22"/>
        </w:rPr>
        <w:t xml:space="preserve">. </w:t>
      </w:r>
    </w:p>
    <w:p w:rsidR="00B211F4" w:rsidRPr="00AB3669" w:rsidRDefault="00B211F4" w:rsidP="00B211F4">
      <w:pPr>
        <w:ind w:left="360"/>
        <w:rPr>
          <w:rFonts w:ascii="Arial" w:hAnsi="Arial" w:cs="Arial"/>
          <w:b/>
          <w:sz w:val="22"/>
          <w:szCs w:val="22"/>
        </w:rPr>
      </w:pPr>
    </w:p>
    <w:p w:rsidR="00745BEB" w:rsidRPr="00AB3669" w:rsidRDefault="0097026C" w:rsidP="00745BEB">
      <w:pPr>
        <w:pStyle w:val="Prrafodelista"/>
        <w:numPr>
          <w:ilvl w:val="0"/>
          <w:numId w:val="5"/>
        </w:numPr>
        <w:rPr>
          <w:rFonts w:ascii="Arial" w:hAnsi="Arial" w:cs="Arial"/>
          <w:b/>
          <w:sz w:val="22"/>
          <w:szCs w:val="22"/>
        </w:rPr>
      </w:pPr>
      <w:r w:rsidRPr="00AB3669">
        <w:rPr>
          <w:rFonts w:ascii="Arial" w:hAnsi="Arial" w:cs="Arial"/>
          <w:b/>
          <w:sz w:val="22"/>
          <w:szCs w:val="22"/>
        </w:rPr>
        <w:t>ACTIVIDADES Y CÓ</w:t>
      </w:r>
      <w:r w:rsidR="00745BEB" w:rsidRPr="00AB3669">
        <w:rPr>
          <w:rFonts w:ascii="Arial" w:hAnsi="Arial" w:cs="Arial"/>
          <w:b/>
          <w:sz w:val="22"/>
          <w:szCs w:val="22"/>
        </w:rPr>
        <w:t>MO SE HACE</w:t>
      </w:r>
    </w:p>
    <w:p w:rsidR="00745BEB" w:rsidRPr="0097026C" w:rsidRDefault="00745BEB" w:rsidP="00745BEB">
      <w:pPr>
        <w:ind w:left="360"/>
        <w:rPr>
          <w:rFonts w:ascii="Arial" w:hAnsi="Arial" w:cs="Arial"/>
          <w:b/>
          <w:sz w:val="22"/>
          <w:szCs w:val="22"/>
        </w:rPr>
      </w:pPr>
    </w:p>
    <w:tbl>
      <w:tblPr>
        <w:tblStyle w:val="Tablaconcuadrcula"/>
        <w:tblW w:w="0" w:type="auto"/>
        <w:tblInd w:w="-147" w:type="dxa"/>
        <w:tblLayout w:type="fixed"/>
        <w:tblLook w:val="04A0"/>
      </w:tblPr>
      <w:tblGrid>
        <w:gridCol w:w="6521"/>
        <w:gridCol w:w="2454"/>
      </w:tblGrid>
      <w:tr w:rsidR="00AB3669" w:rsidRPr="007B1B91" w:rsidTr="00BA067E">
        <w:tc>
          <w:tcPr>
            <w:tcW w:w="6521" w:type="dxa"/>
          </w:tcPr>
          <w:p w:rsidR="00AB3669" w:rsidRPr="007B1B91" w:rsidRDefault="00AB3669" w:rsidP="00BA067E">
            <w:pPr>
              <w:jc w:val="center"/>
              <w:rPr>
                <w:rFonts w:ascii="Arial" w:hAnsi="Arial" w:cs="Arial"/>
                <w:b/>
              </w:rPr>
            </w:pPr>
            <w:r w:rsidRPr="007B1B91">
              <w:rPr>
                <w:rFonts w:ascii="Arial" w:hAnsi="Arial" w:cs="Arial"/>
                <w:b/>
              </w:rPr>
              <w:t>ACTIVIDADES</w:t>
            </w:r>
          </w:p>
        </w:tc>
        <w:tc>
          <w:tcPr>
            <w:tcW w:w="2454" w:type="dxa"/>
            <w:vAlign w:val="center"/>
          </w:tcPr>
          <w:p w:rsidR="00AB3669" w:rsidRPr="007B1B91" w:rsidRDefault="00AB3669" w:rsidP="00BA067E">
            <w:pPr>
              <w:jc w:val="center"/>
              <w:rPr>
                <w:rFonts w:ascii="Arial" w:hAnsi="Arial" w:cs="Arial"/>
                <w:b/>
              </w:rPr>
            </w:pPr>
            <w:r w:rsidRPr="007B1B91">
              <w:rPr>
                <w:rFonts w:ascii="Arial" w:hAnsi="Arial" w:cs="Arial"/>
                <w:b/>
              </w:rPr>
              <w:t>CONTROLES /</w:t>
            </w:r>
          </w:p>
          <w:p w:rsidR="00AB3669" w:rsidRPr="007B1B91" w:rsidRDefault="00AB3669" w:rsidP="00BA067E">
            <w:pPr>
              <w:jc w:val="center"/>
              <w:rPr>
                <w:rFonts w:ascii="Arial" w:hAnsi="Arial" w:cs="Arial"/>
                <w:b/>
              </w:rPr>
            </w:pPr>
            <w:r w:rsidRPr="007B1B91">
              <w:rPr>
                <w:rFonts w:ascii="Arial" w:hAnsi="Arial" w:cs="Arial"/>
                <w:b/>
              </w:rPr>
              <w:t>REGISTRO</w:t>
            </w:r>
          </w:p>
        </w:tc>
      </w:tr>
      <w:tr w:rsidR="00AB3669" w:rsidRPr="007B1B91" w:rsidTr="00BA067E">
        <w:tc>
          <w:tcPr>
            <w:tcW w:w="6521" w:type="dxa"/>
          </w:tcPr>
          <w:p w:rsidR="00D63F6E" w:rsidRDefault="00D63F6E" w:rsidP="00AB3669">
            <w:pPr>
              <w:jc w:val="both"/>
              <w:rPr>
                <w:rFonts w:ascii="Arial" w:hAnsi="Arial" w:cs="Arial"/>
              </w:rPr>
            </w:pPr>
            <w:r>
              <w:rPr>
                <w:rFonts w:ascii="Arial" w:hAnsi="Arial" w:cs="Arial"/>
              </w:rPr>
              <w:t>-Recepción del Despacho Comisorio: Se recibe el Despacho Comisorio con sus anexos, en el archivo municipal, el cual se le asigna un radicado interno y lo remite a la Inspección de Policía.</w:t>
            </w:r>
          </w:p>
          <w:p w:rsidR="00D63F6E" w:rsidRDefault="00D63F6E" w:rsidP="00AB3669">
            <w:pPr>
              <w:jc w:val="both"/>
              <w:rPr>
                <w:rFonts w:ascii="Arial" w:hAnsi="Arial" w:cs="Arial"/>
              </w:rPr>
            </w:pPr>
          </w:p>
          <w:p w:rsidR="00AB3669" w:rsidRPr="00AB3669" w:rsidRDefault="00D63F6E" w:rsidP="009E68C4">
            <w:pPr>
              <w:jc w:val="both"/>
              <w:rPr>
                <w:rFonts w:ascii="Arial" w:hAnsi="Arial" w:cs="Arial"/>
              </w:rPr>
            </w:pPr>
            <w:r>
              <w:rPr>
                <w:rFonts w:ascii="Arial" w:hAnsi="Arial" w:cs="Arial"/>
              </w:rPr>
              <w:t>-Recepción del expediente despacho com</w:t>
            </w:r>
            <w:r w:rsidR="009E68C4">
              <w:rPr>
                <w:rFonts w:ascii="Arial" w:hAnsi="Arial" w:cs="Arial"/>
              </w:rPr>
              <w:t xml:space="preserve">isorio el cual es recibido por </w:t>
            </w:r>
            <w:r>
              <w:rPr>
                <w:rFonts w:ascii="Arial" w:hAnsi="Arial" w:cs="Arial"/>
              </w:rPr>
              <w:t xml:space="preserve"> la auxiliar administrativa, la cual lo somete a </w:t>
            </w:r>
            <w:r w:rsidR="009E68C4">
              <w:rPr>
                <w:rFonts w:ascii="Arial" w:hAnsi="Arial" w:cs="Arial"/>
              </w:rPr>
              <w:t>reparto y registro</w:t>
            </w:r>
            <w:r>
              <w:rPr>
                <w:rFonts w:ascii="Arial" w:hAnsi="Arial" w:cs="Arial"/>
              </w:rPr>
              <w:t xml:space="preserve"> en una bitácora </w:t>
            </w:r>
            <w:r w:rsidR="009E68C4">
              <w:rPr>
                <w:rFonts w:ascii="Arial" w:hAnsi="Arial" w:cs="Arial"/>
              </w:rPr>
              <w:t xml:space="preserve">y </w:t>
            </w:r>
            <w:r>
              <w:rPr>
                <w:rFonts w:ascii="Arial" w:hAnsi="Arial" w:cs="Arial"/>
              </w:rPr>
              <w:t xml:space="preserve">hace la entrega al Técnico que corresponda.   </w:t>
            </w:r>
          </w:p>
        </w:tc>
        <w:tc>
          <w:tcPr>
            <w:tcW w:w="2454" w:type="dxa"/>
          </w:tcPr>
          <w:p w:rsidR="00AB3669" w:rsidRDefault="00D63F6E" w:rsidP="00BA067E">
            <w:pPr>
              <w:rPr>
                <w:rFonts w:ascii="Arial" w:hAnsi="Arial" w:cs="Arial"/>
              </w:rPr>
            </w:pPr>
            <w:r>
              <w:rPr>
                <w:rFonts w:ascii="Arial" w:hAnsi="Arial" w:cs="Arial"/>
              </w:rPr>
              <w:t>-Radicado interno Archivo Municipal (número y fecha)</w:t>
            </w:r>
          </w:p>
          <w:p w:rsidR="00D63F6E" w:rsidRDefault="00D63F6E" w:rsidP="00BA067E">
            <w:pPr>
              <w:rPr>
                <w:rFonts w:ascii="Arial" w:hAnsi="Arial" w:cs="Arial"/>
              </w:rPr>
            </w:pPr>
          </w:p>
          <w:p w:rsidR="00D63F6E" w:rsidRPr="007B1B91" w:rsidRDefault="00D63F6E" w:rsidP="009E68C4">
            <w:pPr>
              <w:rPr>
                <w:rFonts w:ascii="Arial" w:hAnsi="Arial" w:cs="Arial"/>
              </w:rPr>
            </w:pPr>
            <w:r>
              <w:rPr>
                <w:rFonts w:ascii="Arial" w:hAnsi="Arial" w:cs="Arial"/>
              </w:rPr>
              <w:t xml:space="preserve">-Recibido </w:t>
            </w:r>
            <w:r w:rsidR="009E68C4">
              <w:rPr>
                <w:rFonts w:ascii="Arial" w:hAnsi="Arial" w:cs="Arial"/>
              </w:rPr>
              <w:t>Au</w:t>
            </w:r>
            <w:r>
              <w:rPr>
                <w:rFonts w:ascii="Arial" w:hAnsi="Arial" w:cs="Arial"/>
              </w:rPr>
              <w:t xml:space="preserve">xiliar </w:t>
            </w:r>
            <w:r w:rsidR="009E68C4">
              <w:rPr>
                <w:rFonts w:ascii="Arial" w:hAnsi="Arial" w:cs="Arial"/>
              </w:rPr>
              <w:t>Administrativa</w:t>
            </w:r>
            <w:r>
              <w:rPr>
                <w:rFonts w:ascii="Arial" w:hAnsi="Arial" w:cs="Arial"/>
              </w:rPr>
              <w:t xml:space="preserve"> d</w:t>
            </w:r>
            <w:r w:rsidR="003053A4">
              <w:rPr>
                <w:rFonts w:ascii="Arial" w:hAnsi="Arial" w:cs="Arial"/>
              </w:rPr>
              <w:t>e</w:t>
            </w:r>
            <w:r>
              <w:rPr>
                <w:rFonts w:ascii="Arial" w:hAnsi="Arial" w:cs="Arial"/>
              </w:rPr>
              <w:t xml:space="preserve"> la </w:t>
            </w:r>
            <w:r w:rsidR="009E68C4">
              <w:rPr>
                <w:rFonts w:ascii="Arial" w:hAnsi="Arial" w:cs="Arial"/>
              </w:rPr>
              <w:t>Inspección</w:t>
            </w:r>
            <w:r>
              <w:rPr>
                <w:rFonts w:ascii="Arial" w:hAnsi="Arial" w:cs="Arial"/>
              </w:rPr>
              <w:t>, radicado y entrega al técnico.</w:t>
            </w:r>
          </w:p>
        </w:tc>
      </w:tr>
      <w:tr w:rsidR="00AB3669" w:rsidRPr="007B1B91" w:rsidTr="00BA067E">
        <w:tc>
          <w:tcPr>
            <w:tcW w:w="6521" w:type="dxa"/>
          </w:tcPr>
          <w:p w:rsidR="00AB3669" w:rsidRDefault="009E68C4" w:rsidP="00AB3669">
            <w:pPr>
              <w:jc w:val="both"/>
              <w:rPr>
                <w:rFonts w:ascii="Arial" w:hAnsi="Arial" w:cs="Arial"/>
              </w:rPr>
            </w:pPr>
            <w:r>
              <w:rPr>
                <w:rFonts w:ascii="Arial" w:hAnsi="Arial" w:cs="Arial"/>
              </w:rPr>
              <w:t>-El técnico Operativo de la Inspección de Policía Verifica el cumplimiento de los requisitos de ley para ello se remite al Código General del Proceso.</w:t>
            </w:r>
            <w:r w:rsidR="00FB327E">
              <w:rPr>
                <w:rFonts w:ascii="Arial" w:hAnsi="Arial" w:cs="Arial"/>
              </w:rPr>
              <w:t xml:space="preserve"> Ley 1564 de 2012.</w:t>
            </w:r>
            <w:r>
              <w:rPr>
                <w:rFonts w:ascii="Arial" w:hAnsi="Arial" w:cs="Arial"/>
              </w:rPr>
              <w:t xml:space="preserve"> Así mismo constante que haya sido presentado por: 1. El despacho verificara que el expediente reúna los requisitos.2 que sea de nuestra jurisdicción 3. Cumplimento de  requisitos legales además de los antes mencionados, para su admisión, como apoderado juzgado comitente, teléfono, o correo donde se pueda notificar.</w:t>
            </w:r>
          </w:p>
          <w:p w:rsidR="00BB727A" w:rsidRPr="00AB3669" w:rsidRDefault="00BB727A" w:rsidP="00AB3669">
            <w:pPr>
              <w:jc w:val="both"/>
              <w:rPr>
                <w:rFonts w:ascii="Arial" w:hAnsi="Arial" w:cs="Arial"/>
              </w:rPr>
            </w:pPr>
            <w:r>
              <w:rPr>
                <w:rFonts w:ascii="Arial" w:hAnsi="Arial" w:cs="Arial"/>
              </w:rPr>
              <w:t xml:space="preserve">-Se elabora el auto lo cual debe llevar hora, fecha de la Diligencia, ubicación del lugar objeto de la Diligencia. Número del radicado del despacho, especificar si es un secuestro, restitución o entrega de Bien Inmueble. </w:t>
            </w:r>
          </w:p>
        </w:tc>
        <w:tc>
          <w:tcPr>
            <w:tcW w:w="2454" w:type="dxa"/>
          </w:tcPr>
          <w:p w:rsidR="00AB3669" w:rsidRDefault="009E68C4" w:rsidP="00BA067E">
            <w:pPr>
              <w:rPr>
                <w:rFonts w:ascii="Arial" w:hAnsi="Arial" w:cs="Arial"/>
              </w:rPr>
            </w:pPr>
            <w:r>
              <w:t>-</w:t>
            </w:r>
            <w:r w:rsidRPr="009E68C4">
              <w:rPr>
                <w:rFonts w:ascii="Arial" w:hAnsi="Arial" w:cs="Arial"/>
              </w:rPr>
              <w:t>Recibido el despacho comisorio</w:t>
            </w:r>
            <w:r>
              <w:t xml:space="preserve"> </w:t>
            </w:r>
            <w:r>
              <w:rPr>
                <w:rFonts w:ascii="Arial" w:hAnsi="Arial" w:cs="Arial"/>
              </w:rPr>
              <w:t>este  entra en lista para su programación.</w:t>
            </w:r>
          </w:p>
          <w:p w:rsidR="00BB727A" w:rsidRDefault="00BB727A" w:rsidP="00BA067E">
            <w:pPr>
              <w:rPr>
                <w:rFonts w:ascii="Arial" w:hAnsi="Arial" w:cs="Arial"/>
              </w:rPr>
            </w:pPr>
          </w:p>
          <w:p w:rsidR="00BB727A" w:rsidRDefault="00BB727A" w:rsidP="00BA067E">
            <w:pPr>
              <w:rPr>
                <w:rFonts w:ascii="Arial" w:hAnsi="Arial" w:cs="Arial"/>
              </w:rPr>
            </w:pPr>
          </w:p>
          <w:p w:rsidR="00BB727A" w:rsidRDefault="00BB727A" w:rsidP="00BA067E">
            <w:pPr>
              <w:rPr>
                <w:rFonts w:ascii="Arial" w:hAnsi="Arial" w:cs="Arial"/>
              </w:rPr>
            </w:pPr>
          </w:p>
          <w:p w:rsidR="00BB727A" w:rsidRDefault="00BB727A" w:rsidP="00BA067E">
            <w:pPr>
              <w:rPr>
                <w:rFonts w:ascii="Arial" w:hAnsi="Arial" w:cs="Arial"/>
              </w:rPr>
            </w:pPr>
          </w:p>
          <w:p w:rsidR="00BB727A" w:rsidRPr="009E68C4" w:rsidRDefault="003053A4" w:rsidP="00BA067E">
            <w:pPr>
              <w:rPr>
                <w:rFonts w:ascii="Arial" w:hAnsi="Arial" w:cs="Arial"/>
              </w:rPr>
            </w:pPr>
            <w:r>
              <w:rPr>
                <w:rFonts w:ascii="Arial" w:hAnsi="Arial" w:cs="Arial"/>
              </w:rPr>
              <w:t>-</w:t>
            </w:r>
            <w:r w:rsidR="00BB727A">
              <w:rPr>
                <w:rFonts w:ascii="Arial" w:hAnsi="Arial" w:cs="Arial"/>
              </w:rPr>
              <w:t>Se registra el auto y se  notifica a las partes interesadas y se anexa al despacho comisorio.</w:t>
            </w:r>
          </w:p>
        </w:tc>
      </w:tr>
      <w:tr w:rsidR="00AB3669" w:rsidRPr="007B1B91" w:rsidTr="00BA067E">
        <w:tc>
          <w:tcPr>
            <w:tcW w:w="6521" w:type="dxa"/>
          </w:tcPr>
          <w:p w:rsidR="00AB3669" w:rsidRPr="00AB3669" w:rsidRDefault="00BB727A" w:rsidP="00AB3669">
            <w:pPr>
              <w:jc w:val="both"/>
              <w:rPr>
                <w:rFonts w:ascii="Arial" w:hAnsi="Arial" w:cs="Arial"/>
              </w:rPr>
            </w:pPr>
            <w:r>
              <w:rPr>
                <w:rFonts w:ascii="Arial" w:hAnsi="Arial" w:cs="Arial"/>
              </w:rPr>
              <w:t xml:space="preserve">-Elabora la citación y notificación de auto </w:t>
            </w:r>
            <w:r w:rsidR="007270C7">
              <w:rPr>
                <w:rFonts w:ascii="Arial" w:hAnsi="Arial" w:cs="Arial"/>
              </w:rPr>
              <w:t xml:space="preserve">dirigida a las partes </w:t>
            </w:r>
            <w:r>
              <w:rPr>
                <w:rFonts w:ascii="Arial" w:hAnsi="Arial" w:cs="Arial"/>
              </w:rPr>
              <w:t>y se le fija hora y fecha  de la diligencia.</w:t>
            </w:r>
          </w:p>
        </w:tc>
        <w:tc>
          <w:tcPr>
            <w:tcW w:w="2454" w:type="dxa"/>
          </w:tcPr>
          <w:p w:rsidR="00AB3669" w:rsidRDefault="00BB727A" w:rsidP="00BA067E">
            <w:pPr>
              <w:rPr>
                <w:rFonts w:ascii="Arial" w:hAnsi="Arial" w:cs="Arial"/>
              </w:rPr>
            </w:pPr>
            <w:r>
              <w:t>-</w:t>
            </w:r>
            <w:r w:rsidRPr="00BB727A">
              <w:rPr>
                <w:rFonts w:ascii="Arial" w:hAnsi="Arial" w:cs="Arial"/>
              </w:rPr>
              <w:t>Citación escrita</w:t>
            </w:r>
            <w:r w:rsidR="00365BAD">
              <w:rPr>
                <w:rFonts w:ascii="Arial" w:hAnsi="Arial" w:cs="Arial"/>
              </w:rPr>
              <w:t xml:space="preserve">. </w:t>
            </w:r>
          </w:p>
          <w:p w:rsidR="00365BAD" w:rsidRPr="00BB727A" w:rsidRDefault="00365BAD" w:rsidP="00BA067E">
            <w:pPr>
              <w:rPr>
                <w:rFonts w:ascii="Arial" w:hAnsi="Arial" w:cs="Arial"/>
              </w:rPr>
            </w:pPr>
            <w:r>
              <w:rPr>
                <w:rFonts w:ascii="Arial" w:hAnsi="Arial" w:cs="Arial"/>
              </w:rPr>
              <w:t xml:space="preserve">-Constancia de Notificación por el medio </w:t>
            </w:r>
            <w:r w:rsidR="00CE20B7">
              <w:rPr>
                <w:rFonts w:ascii="Arial" w:hAnsi="Arial" w:cs="Arial"/>
              </w:rPr>
              <w:t>más</w:t>
            </w:r>
            <w:r>
              <w:rPr>
                <w:rFonts w:ascii="Arial" w:hAnsi="Arial" w:cs="Arial"/>
              </w:rPr>
              <w:t xml:space="preserve"> expedito.</w:t>
            </w:r>
          </w:p>
        </w:tc>
      </w:tr>
      <w:tr w:rsidR="00AB3669" w:rsidRPr="007B1B91" w:rsidTr="00BA067E">
        <w:tc>
          <w:tcPr>
            <w:tcW w:w="6521" w:type="dxa"/>
          </w:tcPr>
          <w:p w:rsidR="00AB3669" w:rsidRDefault="00FA4EA0" w:rsidP="00AB3669">
            <w:pPr>
              <w:jc w:val="both"/>
              <w:rPr>
                <w:rFonts w:ascii="Arial" w:hAnsi="Arial" w:cs="Arial"/>
              </w:rPr>
            </w:pPr>
            <w:r>
              <w:rPr>
                <w:rFonts w:ascii="Arial" w:hAnsi="Arial" w:cs="Arial"/>
              </w:rPr>
              <w:t xml:space="preserve">-La audiencia </w:t>
            </w:r>
            <w:r w:rsidR="00CE20B7">
              <w:rPr>
                <w:rFonts w:ascii="Arial" w:hAnsi="Arial" w:cs="Arial"/>
              </w:rPr>
              <w:t>pública</w:t>
            </w:r>
            <w:r>
              <w:rPr>
                <w:rFonts w:ascii="Arial" w:hAnsi="Arial" w:cs="Arial"/>
              </w:rPr>
              <w:t xml:space="preserve"> se inicia </w:t>
            </w:r>
            <w:r w:rsidR="00CE20B7">
              <w:rPr>
                <w:rFonts w:ascii="Arial" w:hAnsi="Arial" w:cs="Arial"/>
              </w:rPr>
              <w:t>en al inspección de Policía , lo cual esta se desplaza hacia el lugar donde se debe practicar al diligencia en esta se surtirá mediante los siguientes pasos:</w:t>
            </w:r>
          </w:p>
          <w:p w:rsidR="00AA1093" w:rsidRDefault="00CE20B7" w:rsidP="00AB3669">
            <w:pPr>
              <w:jc w:val="both"/>
              <w:rPr>
                <w:rFonts w:ascii="Arial" w:hAnsi="Arial" w:cs="Arial"/>
              </w:rPr>
            </w:pPr>
            <w:r>
              <w:rPr>
                <w:rFonts w:ascii="Arial" w:hAnsi="Arial" w:cs="Arial"/>
              </w:rPr>
              <w:t xml:space="preserve">a) en al Inspección de policía se verificara de la presencia de las partes y si no se presentan se deja </w:t>
            </w:r>
            <w:r w:rsidR="00AA1093">
              <w:rPr>
                <w:rFonts w:ascii="Arial" w:hAnsi="Arial" w:cs="Arial"/>
              </w:rPr>
              <w:t>constancia</w:t>
            </w:r>
            <w:r>
              <w:rPr>
                <w:rFonts w:ascii="Arial" w:hAnsi="Arial" w:cs="Arial"/>
              </w:rPr>
              <w:t xml:space="preserve"> y se les concede un plazo de tres (3) días para que alleguen justa </w:t>
            </w:r>
            <w:r w:rsidR="00AA1093">
              <w:rPr>
                <w:rFonts w:ascii="Arial" w:hAnsi="Arial" w:cs="Arial"/>
              </w:rPr>
              <w:t>causa,</w:t>
            </w:r>
            <w:r>
              <w:rPr>
                <w:rFonts w:ascii="Arial" w:hAnsi="Arial" w:cs="Arial"/>
              </w:rPr>
              <w:t xml:space="preserve"> y se reprogramara de </w:t>
            </w:r>
            <w:r w:rsidR="00AA1093">
              <w:rPr>
                <w:rFonts w:ascii="Arial" w:hAnsi="Arial" w:cs="Arial"/>
              </w:rPr>
              <w:t xml:space="preserve">nuevo. </w:t>
            </w:r>
          </w:p>
          <w:p w:rsidR="00CE20B7" w:rsidRDefault="00AA1093" w:rsidP="00AB3669">
            <w:pPr>
              <w:jc w:val="both"/>
              <w:rPr>
                <w:rFonts w:ascii="Arial" w:hAnsi="Arial" w:cs="Arial"/>
              </w:rPr>
            </w:pPr>
            <w:r>
              <w:rPr>
                <w:rFonts w:ascii="Arial" w:hAnsi="Arial" w:cs="Arial"/>
              </w:rPr>
              <w:lastRenderedPageBreak/>
              <w:t xml:space="preserve">b) una vez se verificara la presencia del partes el despacho se desplazara al </w:t>
            </w:r>
            <w:r w:rsidR="00CE20B7">
              <w:rPr>
                <w:rFonts w:ascii="Arial" w:hAnsi="Arial" w:cs="Arial"/>
              </w:rPr>
              <w:t xml:space="preserve"> lugar indicado (rural lo urbano)  una vez se llegue allí se le lee el motivo de la diligencia a quien nos reciba en el lugar lo  cual se le pregunta si nos permite el ingreso al inmueble, si se nos permite ingresamos, y se procede a practicar la diligencia. </w:t>
            </w:r>
          </w:p>
          <w:p w:rsidR="00CE20B7" w:rsidRPr="00AB3669" w:rsidRDefault="00AA1093" w:rsidP="00CE20B7">
            <w:pPr>
              <w:jc w:val="both"/>
              <w:rPr>
                <w:rFonts w:ascii="Arial" w:hAnsi="Arial" w:cs="Arial"/>
              </w:rPr>
            </w:pPr>
            <w:r>
              <w:rPr>
                <w:rFonts w:ascii="Arial" w:hAnsi="Arial" w:cs="Arial"/>
              </w:rPr>
              <w:t>c</w:t>
            </w:r>
            <w:r w:rsidR="00CE20B7">
              <w:rPr>
                <w:rFonts w:ascii="Arial" w:hAnsi="Arial" w:cs="Arial"/>
              </w:rPr>
              <w:t xml:space="preserve">) si se presenta oposición y está ajustada a derecho se suspende la  práctica de  la diligencia. </w:t>
            </w:r>
          </w:p>
        </w:tc>
        <w:tc>
          <w:tcPr>
            <w:tcW w:w="2454" w:type="dxa"/>
          </w:tcPr>
          <w:p w:rsidR="00CE20B7" w:rsidRDefault="00CE20B7" w:rsidP="00BA067E">
            <w:pPr>
              <w:rPr>
                <w:rFonts w:ascii="Arial" w:hAnsi="Arial" w:cs="Arial"/>
              </w:rPr>
            </w:pPr>
            <w:r>
              <w:lastRenderedPageBreak/>
              <w:t>-</w:t>
            </w:r>
            <w:r w:rsidRPr="00CE20B7">
              <w:rPr>
                <w:rFonts w:ascii="Arial" w:hAnsi="Arial" w:cs="Arial"/>
              </w:rPr>
              <w:t>Registro de las partes</w:t>
            </w:r>
            <w:r>
              <w:rPr>
                <w:rFonts w:ascii="Arial" w:hAnsi="Arial" w:cs="Arial"/>
              </w:rPr>
              <w:t>.</w:t>
            </w:r>
          </w:p>
          <w:p w:rsidR="00CE20B7" w:rsidRDefault="00CE20B7" w:rsidP="00BA067E">
            <w:pPr>
              <w:rPr>
                <w:rFonts w:ascii="Arial" w:hAnsi="Arial" w:cs="Arial"/>
              </w:rPr>
            </w:pPr>
          </w:p>
          <w:p w:rsidR="00AA1093" w:rsidRDefault="00CE20B7" w:rsidP="00BA067E">
            <w:pPr>
              <w:rPr>
                <w:rFonts w:ascii="Arial" w:hAnsi="Arial" w:cs="Arial"/>
              </w:rPr>
            </w:pPr>
            <w:r>
              <w:rPr>
                <w:rFonts w:ascii="Arial" w:hAnsi="Arial" w:cs="Arial"/>
              </w:rPr>
              <w:t xml:space="preserve">-Constancia de no Comparecencia </w:t>
            </w:r>
          </w:p>
          <w:p w:rsidR="00AA1093" w:rsidRDefault="00AA1093" w:rsidP="00BA067E">
            <w:pPr>
              <w:rPr>
                <w:rFonts w:ascii="Arial" w:hAnsi="Arial" w:cs="Arial"/>
              </w:rPr>
            </w:pPr>
          </w:p>
          <w:p w:rsidR="00AA1093" w:rsidRDefault="00AA1093" w:rsidP="00BA067E">
            <w:pPr>
              <w:rPr>
                <w:rFonts w:ascii="Arial" w:hAnsi="Arial" w:cs="Arial"/>
              </w:rPr>
            </w:pPr>
          </w:p>
          <w:p w:rsidR="00AB3669" w:rsidRPr="007B1B91" w:rsidRDefault="00AA1093" w:rsidP="00BA067E">
            <w:r>
              <w:rPr>
                <w:rFonts w:ascii="Arial" w:hAnsi="Arial" w:cs="Arial"/>
              </w:rPr>
              <w:lastRenderedPageBreak/>
              <w:t>-En el acta que se levante debe quedar escrito toda actuación alguna su hubo oposición alguna se suspende y se devuelve al comitente.</w:t>
            </w:r>
            <w:r w:rsidR="00CE20B7">
              <w:t xml:space="preserve"> </w:t>
            </w:r>
          </w:p>
        </w:tc>
      </w:tr>
      <w:tr w:rsidR="00AB3669" w:rsidRPr="007B1B91" w:rsidTr="00BA067E">
        <w:tc>
          <w:tcPr>
            <w:tcW w:w="6521" w:type="dxa"/>
          </w:tcPr>
          <w:p w:rsidR="00AB3669" w:rsidRPr="00AB3669" w:rsidRDefault="00AA1093" w:rsidP="00AB3669">
            <w:pPr>
              <w:jc w:val="both"/>
              <w:rPr>
                <w:rFonts w:ascii="Arial" w:hAnsi="Arial" w:cs="Arial"/>
              </w:rPr>
            </w:pPr>
            <w:r>
              <w:rPr>
                <w:rFonts w:ascii="Arial" w:hAnsi="Arial" w:cs="Arial"/>
              </w:rPr>
              <w:lastRenderedPageBreak/>
              <w:t>-Una vez se termina la práctica de la diligencia y no encontrándose objeción alguna se levanta el acta y se deja constancia y se remite al juzgado comitente.</w:t>
            </w:r>
          </w:p>
        </w:tc>
        <w:tc>
          <w:tcPr>
            <w:tcW w:w="2454" w:type="dxa"/>
          </w:tcPr>
          <w:p w:rsidR="00AB3669" w:rsidRPr="007B1B91" w:rsidRDefault="00AA1093" w:rsidP="00BA067E">
            <w:pPr>
              <w:rPr>
                <w:rFonts w:ascii="Arial" w:hAnsi="Arial" w:cs="Arial"/>
              </w:rPr>
            </w:pPr>
            <w:r>
              <w:rPr>
                <w:rFonts w:ascii="Arial" w:hAnsi="Arial" w:cs="Arial"/>
              </w:rPr>
              <w:t xml:space="preserve">-Auto que ordena la remisión del acta al juzgado comitente y </w:t>
            </w:r>
            <w:r w:rsidR="003053A4">
              <w:rPr>
                <w:rFonts w:ascii="Arial" w:hAnsi="Arial" w:cs="Arial"/>
              </w:rPr>
              <w:t>número</w:t>
            </w:r>
            <w:r>
              <w:rPr>
                <w:rFonts w:ascii="Arial" w:hAnsi="Arial" w:cs="Arial"/>
              </w:rPr>
              <w:t xml:space="preserve"> de folios del expediente este se envía de manera virtual. </w:t>
            </w:r>
          </w:p>
        </w:tc>
      </w:tr>
      <w:tr w:rsidR="00AB3669" w:rsidRPr="007B1B91" w:rsidTr="00BA067E">
        <w:tc>
          <w:tcPr>
            <w:tcW w:w="6521" w:type="dxa"/>
          </w:tcPr>
          <w:p w:rsidR="00AB3669" w:rsidRPr="007B1B91" w:rsidRDefault="00AB3669" w:rsidP="00BA067E">
            <w:pPr>
              <w:jc w:val="both"/>
              <w:rPr>
                <w:rFonts w:ascii="Arial" w:hAnsi="Arial" w:cs="Arial"/>
              </w:rPr>
            </w:pPr>
          </w:p>
        </w:tc>
        <w:tc>
          <w:tcPr>
            <w:tcW w:w="2454" w:type="dxa"/>
          </w:tcPr>
          <w:p w:rsidR="00AB3669" w:rsidRPr="007B1B91" w:rsidRDefault="00AB3669" w:rsidP="00BA067E">
            <w:pPr>
              <w:jc w:val="both"/>
            </w:pPr>
          </w:p>
        </w:tc>
      </w:tr>
      <w:tr w:rsidR="00AB3669" w:rsidRPr="007B1B91" w:rsidTr="00BA067E">
        <w:tc>
          <w:tcPr>
            <w:tcW w:w="6521" w:type="dxa"/>
          </w:tcPr>
          <w:p w:rsidR="00AB3669" w:rsidRPr="00AB3669" w:rsidRDefault="00AB3669" w:rsidP="00AB3669">
            <w:pPr>
              <w:jc w:val="both"/>
              <w:rPr>
                <w:rFonts w:ascii="Arial" w:hAnsi="Arial" w:cs="Arial"/>
              </w:rPr>
            </w:pPr>
          </w:p>
        </w:tc>
        <w:tc>
          <w:tcPr>
            <w:tcW w:w="2454" w:type="dxa"/>
          </w:tcPr>
          <w:p w:rsidR="00AB3669" w:rsidRPr="007B1B91" w:rsidRDefault="00AB3669" w:rsidP="00BA067E"/>
        </w:tc>
      </w:tr>
      <w:tr w:rsidR="00AB3669" w:rsidRPr="007B1B91" w:rsidTr="00BA067E">
        <w:tc>
          <w:tcPr>
            <w:tcW w:w="6521" w:type="dxa"/>
          </w:tcPr>
          <w:p w:rsidR="00AB3669" w:rsidRPr="00AB3669" w:rsidRDefault="00AB3669" w:rsidP="00AB3669">
            <w:pPr>
              <w:jc w:val="both"/>
              <w:rPr>
                <w:rFonts w:ascii="Arial" w:hAnsi="Arial" w:cs="Arial"/>
              </w:rPr>
            </w:pPr>
          </w:p>
        </w:tc>
        <w:tc>
          <w:tcPr>
            <w:tcW w:w="2454" w:type="dxa"/>
          </w:tcPr>
          <w:p w:rsidR="00AB3669" w:rsidRPr="007B1B91" w:rsidRDefault="00AB3669" w:rsidP="00BA067E"/>
        </w:tc>
      </w:tr>
      <w:tr w:rsidR="00AB3669" w:rsidRPr="007B1B91" w:rsidTr="00BA067E">
        <w:tc>
          <w:tcPr>
            <w:tcW w:w="6521" w:type="dxa"/>
          </w:tcPr>
          <w:p w:rsidR="00AB3669" w:rsidRPr="007B1B91" w:rsidRDefault="00AB3669" w:rsidP="00BA067E">
            <w:pPr>
              <w:jc w:val="both"/>
              <w:rPr>
                <w:rFonts w:ascii="Arial" w:hAnsi="Arial" w:cs="Arial"/>
              </w:rPr>
            </w:pPr>
          </w:p>
        </w:tc>
        <w:tc>
          <w:tcPr>
            <w:tcW w:w="2454" w:type="dxa"/>
          </w:tcPr>
          <w:p w:rsidR="00AB3669" w:rsidRPr="007B1B91" w:rsidRDefault="00AB3669" w:rsidP="00BA067E">
            <w:pPr>
              <w:rPr>
                <w:rFonts w:ascii="Arial" w:hAnsi="Arial" w:cs="Arial"/>
              </w:rPr>
            </w:pPr>
          </w:p>
        </w:tc>
      </w:tr>
      <w:tr w:rsidR="00AB3669" w:rsidRPr="007B1B91" w:rsidTr="00BA067E">
        <w:tc>
          <w:tcPr>
            <w:tcW w:w="6521" w:type="dxa"/>
          </w:tcPr>
          <w:p w:rsidR="00AB3669" w:rsidRPr="007B1B91" w:rsidRDefault="00AB3669" w:rsidP="00BA067E">
            <w:pPr>
              <w:jc w:val="both"/>
              <w:rPr>
                <w:rFonts w:ascii="Arial" w:hAnsi="Arial" w:cs="Arial"/>
              </w:rPr>
            </w:pPr>
          </w:p>
        </w:tc>
        <w:tc>
          <w:tcPr>
            <w:tcW w:w="2454" w:type="dxa"/>
          </w:tcPr>
          <w:p w:rsidR="00AB3669" w:rsidRPr="007B1B91" w:rsidRDefault="00AB3669" w:rsidP="00BA067E"/>
        </w:tc>
      </w:tr>
      <w:tr w:rsidR="00AB3669" w:rsidRPr="007B1B91" w:rsidTr="00BA067E">
        <w:tc>
          <w:tcPr>
            <w:tcW w:w="6521" w:type="dxa"/>
          </w:tcPr>
          <w:p w:rsidR="00AB3669" w:rsidRPr="00AB3669" w:rsidRDefault="00AB3669" w:rsidP="00AB3669">
            <w:pPr>
              <w:jc w:val="both"/>
              <w:rPr>
                <w:rFonts w:ascii="Arial" w:hAnsi="Arial" w:cs="Arial"/>
              </w:rPr>
            </w:pPr>
          </w:p>
        </w:tc>
        <w:tc>
          <w:tcPr>
            <w:tcW w:w="2454" w:type="dxa"/>
          </w:tcPr>
          <w:p w:rsidR="00AB3669" w:rsidRPr="007B1B91" w:rsidRDefault="00AB3669" w:rsidP="00BA067E"/>
        </w:tc>
      </w:tr>
      <w:tr w:rsidR="00AB3669" w:rsidRPr="007B1B91" w:rsidTr="00BA067E">
        <w:tc>
          <w:tcPr>
            <w:tcW w:w="6521" w:type="dxa"/>
          </w:tcPr>
          <w:p w:rsidR="00AB3669" w:rsidRPr="00AB3669" w:rsidRDefault="00AB3669" w:rsidP="00AB3669">
            <w:pPr>
              <w:tabs>
                <w:tab w:val="left" w:pos="2477"/>
              </w:tabs>
              <w:jc w:val="both"/>
              <w:rPr>
                <w:rFonts w:ascii="Arial" w:hAnsi="Arial" w:cs="Arial"/>
              </w:rPr>
            </w:pPr>
          </w:p>
        </w:tc>
        <w:tc>
          <w:tcPr>
            <w:tcW w:w="2454" w:type="dxa"/>
          </w:tcPr>
          <w:p w:rsidR="00AB3669" w:rsidRPr="007B1B91" w:rsidRDefault="00AB3669" w:rsidP="00BA067E"/>
        </w:tc>
      </w:tr>
    </w:tbl>
    <w:p w:rsidR="008B158F" w:rsidRPr="0097026C" w:rsidRDefault="008B158F" w:rsidP="00BD7CCC">
      <w:pPr>
        <w:rPr>
          <w:rFonts w:ascii="Arial" w:hAnsi="Arial" w:cs="Arial"/>
          <w:sz w:val="22"/>
          <w:szCs w:val="22"/>
        </w:rPr>
      </w:pPr>
    </w:p>
    <w:p w:rsidR="001F4731" w:rsidRPr="006F6B56" w:rsidRDefault="001F4731" w:rsidP="001F4731">
      <w:pPr>
        <w:tabs>
          <w:tab w:val="left" w:pos="426"/>
        </w:tabs>
        <w:ind w:left="142" w:right="-92"/>
        <w:jc w:val="both"/>
        <w:rPr>
          <w:rFonts w:ascii="Arial" w:hAnsi="Arial" w:cs="Arial"/>
          <w:b/>
          <w:sz w:val="22"/>
          <w:szCs w:val="22"/>
        </w:rPr>
      </w:pPr>
      <w:r w:rsidRPr="006F6B56">
        <w:rPr>
          <w:rFonts w:ascii="Arial" w:hAnsi="Arial" w:cs="Arial"/>
          <w:b/>
          <w:sz w:val="22"/>
          <w:szCs w:val="22"/>
        </w:rPr>
        <w:t>Notas de cambio</w:t>
      </w:r>
    </w:p>
    <w:p w:rsidR="001F4731" w:rsidRPr="006F6B56" w:rsidRDefault="001F4731" w:rsidP="001F4731">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152"/>
        <w:gridCol w:w="3168"/>
        <w:gridCol w:w="3600"/>
        <w:gridCol w:w="1080"/>
      </w:tblGrid>
      <w:tr w:rsidR="001F4731" w:rsidRPr="006F6B56" w:rsidTr="009236C7">
        <w:tc>
          <w:tcPr>
            <w:tcW w:w="975"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Versión Final</w:t>
            </w: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bl>
    <w:p w:rsidR="001F4731" w:rsidRPr="006F6B56" w:rsidRDefault="001F4731" w:rsidP="001F4731">
      <w:pPr>
        <w:jc w:val="both"/>
        <w:rPr>
          <w:rFonts w:ascii="Arial" w:hAnsi="Arial" w:cs="Arial"/>
          <w:sz w:val="22"/>
          <w:szCs w:val="22"/>
        </w:rPr>
      </w:pPr>
    </w:p>
    <w:p w:rsidR="001F4731" w:rsidRPr="006F6B56" w:rsidRDefault="001F4731" w:rsidP="001F4731">
      <w:pPr>
        <w:jc w:val="both"/>
        <w:rPr>
          <w:rFonts w:ascii="Arial" w:hAnsi="Arial" w:cs="Arial"/>
          <w:sz w:val="22"/>
          <w:szCs w:val="22"/>
        </w:rPr>
      </w:pPr>
    </w:p>
    <w:p w:rsidR="001F4731" w:rsidRPr="006F6B56" w:rsidRDefault="001F4731" w:rsidP="001F4731">
      <w:pPr>
        <w:jc w:val="both"/>
        <w:rPr>
          <w:rFonts w:ascii="Arial" w:hAnsi="Arial" w:cs="Arial"/>
          <w:sz w:val="22"/>
          <w:szCs w:val="22"/>
        </w:rPr>
      </w:pPr>
    </w:p>
    <w:p w:rsidR="002B29E3" w:rsidRPr="0097026C" w:rsidRDefault="002B29E3" w:rsidP="00AB3669">
      <w:pPr>
        <w:tabs>
          <w:tab w:val="left" w:pos="426"/>
        </w:tabs>
        <w:ind w:right="-92"/>
        <w:jc w:val="both"/>
        <w:rPr>
          <w:rFonts w:ascii="Arial" w:hAnsi="Arial" w:cs="Arial"/>
          <w:b/>
          <w:sz w:val="22"/>
          <w:szCs w:val="22"/>
        </w:rPr>
      </w:pPr>
    </w:p>
    <w:sectPr w:rsidR="002B29E3" w:rsidRPr="0097026C"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35" w:rsidRPr="00E363F7" w:rsidRDefault="00347435" w:rsidP="00E363F7">
      <w:r>
        <w:separator/>
      </w:r>
    </w:p>
  </w:endnote>
  <w:endnote w:type="continuationSeparator" w:id="0">
    <w:p w:rsidR="00347435" w:rsidRPr="00E363F7" w:rsidRDefault="00347435"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35" w:rsidRPr="00E363F7" w:rsidRDefault="00347435" w:rsidP="00E363F7">
      <w:r>
        <w:separator/>
      </w:r>
    </w:p>
  </w:footnote>
  <w:footnote w:type="continuationSeparator" w:id="0">
    <w:p w:rsidR="00347435" w:rsidRPr="00E363F7" w:rsidRDefault="00347435"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5"/>
      <w:gridCol w:w="4268"/>
      <w:gridCol w:w="2422"/>
      <w:gridCol w:w="1327"/>
    </w:tblGrid>
    <w:tr w:rsidR="00320038" w:rsidRPr="009E7573" w:rsidTr="00267101">
      <w:trPr>
        <w:cantSplit/>
        <w:trHeight w:val="510"/>
        <w:jc w:val="center"/>
      </w:trPr>
      <w:tc>
        <w:tcPr>
          <w:tcW w:w="1925" w:type="dxa"/>
          <w:vMerge w:val="restart"/>
        </w:tcPr>
        <w:p w:rsidR="00320038" w:rsidRPr="009E7573" w:rsidRDefault="00A67927"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268" w:type="dxa"/>
          <w:vMerge w:val="restart"/>
          <w:vAlign w:val="center"/>
        </w:tcPr>
        <w:p w:rsidR="00320038" w:rsidRPr="00926107" w:rsidRDefault="00495D02" w:rsidP="00495D02">
          <w:pPr>
            <w:rPr>
              <w:rFonts w:ascii="Arial" w:hAnsi="Arial" w:cs="Arial"/>
              <w:b/>
            </w:rPr>
          </w:pPr>
          <w:r>
            <w:rPr>
              <w:rFonts w:ascii="Arial" w:hAnsi="Arial" w:cs="Arial"/>
              <w:b/>
            </w:rPr>
            <w:t xml:space="preserve">    </w:t>
          </w:r>
          <w:r w:rsidR="007C3009">
            <w:rPr>
              <w:rFonts w:ascii="Arial" w:hAnsi="Arial" w:cs="Arial"/>
              <w:b/>
            </w:rPr>
            <w:t xml:space="preserve"> DESPACHOS COMISORIOS</w:t>
          </w:r>
        </w:p>
      </w:tc>
      <w:tc>
        <w:tcPr>
          <w:tcW w:w="2422" w:type="dxa"/>
          <w:vAlign w:val="center"/>
        </w:tcPr>
        <w:p w:rsidR="00320038" w:rsidRPr="009E7573" w:rsidRDefault="00495D02" w:rsidP="008B158F">
          <w:pPr>
            <w:rPr>
              <w:rFonts w:ascii="Arial" w:hAnsi="Arial" w:cs="Arial"/>
              <w:b/>
              <w:bCs/>
            </w:rPr>
          </w:pPr>
          <w:r>
            <w:rPr>
              <w:rFonts w:ascii="Arial" w:hAnsi="Arial" w:cs="Arial"/>
              <w:b/>
              <w:bCs/>
              <w:sz w:val="22"/>
              <w:szCs w:val="22"/>
            </w:rPr>
            <w:t>Código: M-GG-P-009</w:t>
          </w:r>
        </w:p>
      </w:tc>
      <w:tc>
        <w:tcPr>
          <w:tcW w:w="1327"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267101">
      <w:trPr>
        <w:cantSplit/>
        <w:trHeight w:val="510"/>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832060">
          <w:pPr>
            <w:rPr>
              <w:rFonts w:ascii="Arial" w:hAnsi="Arial" w:cs="Arial"/>
              <w:b/>
              <w:bCs/>
            </w:rPr>
          </w:pPr>
          <w:r>
            <w:rPr>
              <w:rFonts w:ascii="Arial" w:hAnsi="Arial" w:cs="Arial"/>
              <w:b/>
              <w:bCs/>
              <w:sz w:val="22"/>
              <w:szCs w:val="22"/>
            </w:rPr>
            <w:t xml:space="preserve">Versión: </w:t>
          </w:r>
          <w:r w:rsidR="00495D02">
            <w:rPr>
              <w:rFonts w:ascii="Arial" w:hAnsi="Arial" w:cs="Arial"/>
              <w:b/>
              <w:bCs/>
              <w:sz w:val="22"/>
              <w:szCs w:val="22"/>
            </w:rPr>
            <w:t>02</w:t>
          </w:r>
        </w:p>
      </w:tc>
      <w:tc>
        <w:tcPr>
          <w:tcW w:w="1327" w:type="dxa"/>
          <w:vMerge/>
        </w:tcPr>
        <w:p w:rsidR="00320038" w:rsidRPr="009E7573" w:rsidRDefault="00320038" w:rsidP="00F9239C">
          <w:pPr>
            <w:rPr>
              <w:rFonts w:ascii="Arial" w:hAnsi="Arial" w:cs="Arial"/>
              <w:b/>
              <w:bCs/>
            </w:rPr>
          </w:pPr>
        </w:p>
      </w:tc>
    </w:tr>
    <w:tr w:rsidR="00320038" w:rsidRPr="009E7573" w:rsidTr="00267101">
      <w:trPr>
        <w:cantSplit/>
        <w:trHeight w:val="398"/>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495D02">
            <w:rPr>
              <w:rFonts w:ascii="Arial" w:hAnsi="Arial" w:cs="Arial"/>
              <w:b/>
              <w:bCs/>
              <w:sz w:val="22"/>
              <w:szCs w:val="22"/>
            </w:rPr>
            <w:t>05-05-2023</w:t>
          </w:r>
        </w:p>
      </w:tc>
      <w:tc>
        <w:tcPr>
          <w:tcW w:w="1327"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7">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1"/>
  </w:num>
  <w:num w:numId="6">
    <w:abstractNumId w:val="0"/>
  </w:num>
  <w:num w:numId="7">
    <w:abstractNumId w:val="10"/>
  </w:num>
  <w:num w:numId="8">
    <w:abstractNumId w:val="1"/>
  </w:num>
  <w:num w:numId="9">
    <w:abstractNumId w:val="8"/>
  </w:num>
  <w:num w:numId="10">
    <w:abstractNumId w:val="5"/>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94AAD"/>
    <w:rsid w:val="00007D16"/>
    <w:rsid w:val="0001797B"/>
    <w:rsid w:val="00025D13"/>
    <w:rsid w:val="00032EF9"/>
    <w:rsid w:val="0004004A"/>
    <w:rsid w:val="000478F8"/>
    <w:rsid w:val="00055065"/>
    <w:rsid w:val="00057F23"/>
    <w:rsid w:val="00070D60"/>
    <w:rsid w:val="000873C0"/>
    <w:rsid w:val="00095A6E"/>
    <w:rsid w:val="000A5CFA"/>
    <w:rsid w:val="000B480F"/>
    <w:rsid w:val="000C21DE"/>
    <w:rsid w:val="00123F42"/>
    <w:rsid w:val="00126A2D"/>
    <w:rsid w:val="001279BA"/>
    <w:rsid w:val="001301F1"/>
    <w:rsid w:val="00134746"/>
    <w:rsid w:val="00137F79"/>
    <w:rsid w:val="00142BA8"/>
    <w:rsid w:val="00161E63"/>
    <w:rsid w:val="0019645F"/>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853A3"/>
    <w:rsid w:val="002B29E3"/>
    <w:rsid w:val="002D037B"/>
    <w:rsid w:val="002E15ED"/>
    <w:rsid w:val="002E5DF8"/>
    <w:rsid w:val="003053A4"/>
    <w:rsid w:val="00316B35"/>
    <w:rsid w:val="00320038"/>
    <w:rsid w:val="00324C50"/>
    <w:rsid w:val="00346DA0"/>
    <w:rsid w:val="00347435"/>
    <w:rsid w:val="00365BAD"/>
    <w:rsid w:val="003867DC"/>
    <w:rsid w:val="00392591"/>
    <w:rsid w:val="0039285A"/>
    <w:rsid w:val="00394AAD"/>
    <w:rsid w:val="003B7B67"/>
    <w:rsid w:val="003C49A2"/>
    <w:rsid w:val="003D09B1"/>
    <w:rsid w:val="003D2CB6"/>
    <w:rsid w:val="00434DE0"/>
    <w:rsid w:val="00451821"/>
    <w:rsid w:val="00463737"/>
    <w:rsid w:val="00476967"/>
    <w:rsid w:val="00495D02"/>
    <w:rsid w:val="00497F78"/>
    <w:rsid w:val="004B1112"/>
    <w:rsid w:val="004D4B01"/>
    <w:rsid w:val="004D61E7"/>
    <w:rsid w:val="004F3B67"/>
    <w:rsid w:val="004F6D9A"/>
    <w:rsid w:val="00557982"/>
    <w:rsid w:val="00561A70"/>
    <w:rsid w:val="00572F35"/>
    <w:rsid w:val="00574C40"/>
    <w:rsid w:val="0058469F"/>
    <w:rsid w:val="005918D6"/>
    <w:rsid w:val="005A2BD3"/>
    <w:rsid w:val="005A6E03"/>
    <w:rsid w:val="005C52E7"/>
    <w:rsid w:val="005E7E33"/>
    <w:rsid w:val="0060119D"/>
    <w:rsid w:val="00636266"/>
    <w:rsid w:val="0067117F"/>
    <w:rsid w:val="00687503"/>
    <w:rsid w:val="0069429D"/>
    <w:rsid w:val="006A7754"/>
    <w:rsid w:val="006B0E99"/>
    <w:rsid w:val="006B2C29"/>
    <w:rsid w:val="006C2B55"/>
    <w:rsid w:val="006D342E"/>
    <w:rsid w:val="00711958"/>
    <w:rsid w:val="007270C7"/>
    <w:rsid w:val="00745BEB"/>
    <w:rsid w:val="0075331F"/>
    <w:rsid w:val="00766DE3"/>
    <w:rsid w:val="00796E86"/>
    <w:rsid w:val="007A1E51"/>
    <w:rsid w:val="007A64C8"/>
    <w:rsid w:val="007C3009"/>
    <w:rsid w:val="007D7488"/>
    <w:rsid w:val="00824BFD"/>
    <w:rsid w:val="00832060"/>
    <w:rsid w:val="0083670B"/>
    <w:rsid w:val="00843294"/>
    <w:rsid w:val="008604CE"/>
    <w:rsid w:val="008838E2"/>
    <w:rsid w:val="00884E9A"/>
    <w:rsid w:val="008958CB"/>
    <w:rsid w:val="008B158F"/>
    <w:rsid w:val="008E078E"/>
    <w:rsid w:val="008E0F2A"/>
    <w:rsid w:val="0092496C"/>
    <w:rsid w:val="00926107"/>
    <w:rsid w:val="0093688F"/>
    <w:rsid w:val="00961C3B"/>
    <w:rsid w:val="0097026C"/>
    <w:rsid w:val="009905FA"/>
    <w:rsid w:val="00997DC0"/>
    <w:rsid w:val="009A1CFD"/>
    <w:rsid w:val="009A6A29"/>
    <w:rsid w:val="009B38D1"/>
    <w:rsid w:val="009B5950"/>
    <w:rsid w:val="009C4677"/>
    <w:rsid w:val="009E68C4"/>
    <w:rsid w:val="009E7573"/>
    <w:rsid w:val="00A05059"/>
    <w:rsid w:val="00A07B99"/>
    <w:rsid w:val="00A22FC9"/>
    <w:rsid w:val="00A40112"/>
    <w:rsid w:val="00A427FA"/>
    <w:rsid w:val="00A67927"/>
    <w:rsid w:val="00A73190"/>
    <w:rsid w:val="00A84BA8"/>
    <w:rsid w:val="00AA1093"/>
    <w:rsid w:val="00AB1C38"/>
    <w:rsid w:val="00AB3669"/>
    <w:rsid w:val="00AB37BA"/>
    <w:rsid w:val="00B211F4"/>
    <w:rsid w:val="00B36093"/>
    <w:rsid w:val="00B54529"/>
    <w:rsid w:val="00B7521A"/>
    <w:rsid w:val="00B75CA0"/>
    <w:rsid w:val="00BA21BE"/>
    <w:rsid w:val="00BB2FD4"/>
    <w:rsid w:val="00BB727A"/>
    <w:rsid w:val="00BC5E0C"/>
    <w:rsid w:val="00BC716D"/>
    <w:rsid w:val="00BD1E98"/>
    <w:rsid w:val="00BD771A"/>
    <w:rsid w:val="00BD7CCC"/>
    <w:rsid w:val="00BE25B5"/>
    <w:rsid w:val="00BE27DD"/>
    <w:rsid w:val="00BE4CE2"/>
    <w:rsid w:val="00BE50D9"/>
    <w:rsid w:val="00C03E04"/>
    <w:rsid w:val="00C22659"/>
    <w:rsid w:val="00C26D40"/>
    <w:rsid w:val="00C3536C"/>
    <w:rsid w:val="00C51286"/>
    <w:rsid w:val="00C5173C"/>
    <w:rsid w:val="00C76248"/>
    <w:rsid w:val="00C76807"/>
    <w:rsid w:val="00C90930"/>
    <w:rsid w:val="00CE20B7"/>
    <w:rsid w:val="00CE5098"/>
    <w:rsid w:val="00D00C65"/>
    <w:rsid w:val="00D34547"/>
    <w:rsid w:val="00D41EDA"/>
    <w:rsid w:val="00D63F6E"/>
    <w:rsid w:val="00D90E8F"/>
    <w:rsid w:val="00DB3D12"/>
    <w:rsid w:val="00DC19F8"/>
    <w:rsid w:val="00DE26C6"/>
    <w:rsid w:val="00DE2CE9"/>
    <w:rsid w:val="00DE397F"/>
    <w:rsid w:val="00DE734C"/>
    <w:rsid w:val="00E060E3"/>
    <w:rsid w:val="00E2156B"/>
    <w:rsid w:val="00E363F7"/>
    <w:rsid w:val="00E4446A"/>
    <w:rsid w:val="00E45F50"/>
    <w:rsid w:val="00E76D71"/>
    <w:rsid w:val="00E83D25"/>
    <w:rsid w:val="00EA2604"/>
    <w:rsid w:val="00EA5361"/>
    <w:rsid w:val="00EF30E6"/>
    <w:rsid w:val="00EF4340"/>
    <w:rsid w:val="00EF7537"/>
    <w:rsid w:val="00F0687B"/>
    <w:rsid w:val="00F43DBB"/>
    <w:rsid w:val="00F615DB"/>
    <w:rsid w:val="00F9239C"/>
    <w:rsid w:val="00FA4EA0"/>
    <w:rsid w:val="00FB0136"/>
    <w:rsid w:val="00FB327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FF04-C3C0-479D-99A8-6D388A52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2018-04-10T21:53:00Z</cp:lastPrinted>
  <dcterms:created xsi:type="dcterms:W3CDTF">2023-05-24T18:59:00Z</dcterms:created>
  <dcterms:modified xsi:type="dcterms:W3CDTF">2023-05-24T18:59:00Z</dcterms:modified>
</cp:coreProperties>
</file>